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kern w:val="0"/>
          <w:sz w:val="32"/>
          <w:szCs w:val="36"/>
          <w:highlight w:val="none"/>
          <w:lang w:eastAsia="zh-CN"/>
        </w:rPr>
      </w:pPr>
      <w:r>
        <w:rPr>
          <w:rFonts w:hint="eastAsia" w:ascii="宋体" w:hAnsi="宋体" w:cs="宋体"/>
          <w:b/>
          <w:kern w:val="0"/>
          <w:sz w:val="32"/>
          <w:szCs w:val="36"/>
          <w:highlight w:val="none"/>
        </w:rPr>
        <w:t>项目名称：重庆新机场</w:t>
      </w:r>
      <w:r>
        <w:rPr>
          <w:rFonts w:hint="eastAsia" w:ascii="宋体" w:hAnsi="宋体" w:cs="宋体"/>
          <w:b/>
          <w:kern w:val="0"/>
          <w:sz w:val="32"/>
          <w:szCs w:val="36"/>
          <w:highlight w:val="none"/>
          <w:lang w:eastAsia="zh-CN"/>
        </w:rPr>
        <w:t>防洪专项研究</w:t>
      </w:r>
    </w:p>
    <w:p>
      <w:pPr>
        <w:tabs>
          <w:tab w:val="left" w:pos="1695"/>
          <w:tab w:val="left" w:pos="3370"/>
          <w:tab w:val="left" w:pos="5555"/>
        </w:tabs>
        <w:autoSpaceDE w:val="0"/>
        <w:autoSpaceDN w:val="0"/>
        <w:adjustRightInd w:val="0"/>
        <w:snapToGrid w:val="0"/>
        <w:spacing w:line="360" w:lineRule="auto"/>
        <w:ind w:left="1391" w:hanging="1391" w:hangingChars="495"/>
        <w:jc w:val="left"/>
        <w:rPr>
          <w:rFonts w:hint="eastAsia" w:ascii="宋体" w:hAnsi="宋体" w:cs="宋体"/>
          <w:b/>
          <w:kern w:val="0"/>
          <w:sz w:val="28"/>
          <w:szCs w:val="28"/>
          <w:highlight w:val="none"/>
        </w:rPr>
      </w:pPr>
      <w:r>
        <w:rPr>
          <w:rFonts w:hint="eastAsia" w:ascii="宋体" w:hAnsi="宋体" w:cs="宋体"/>
          <w:b/>
          <w:kern w:val="0"/>
          <w:sz w:val="28"/>
          <w:szCs w:val="28"/>
          <w:highlight w:val="none"/>
        </w:rPr>
        <w:t>招标编号：SFG2200140483AS</w:t>
      </w:r>
    </w:p>
    <w:p>
      <w:pPr>
        <w:tabs>
          <w:tab w:val="left" w:pos="1695"/>
          <w:tab w:val="left" w:pos="3370"/>
          <w:tab w:val="left" w:pos="5555"/>
        </w:tabs>
        <w:autoSpaceDE w:val="0"/>
        <w:autoSpaceDN w:val="0"/>
        <w:adjustRightInd w:val="0"/>
        <w:snapToGrid w:val="0"/>
        <w:spacing w:line="360" w:lineRule="auto"/>
        <w:ind w:left="1391" w:hanging="1391" w:hangingChars="495"/>
        <w:jc w:val="left"/>
        <w:rPr>
          <w:rFonts w:hint="eastAsia" w:ascii="宋体" w:hAnsi="宋体" w:cs="宋体"/>
          <w:b/>
          <w:kern w:val="0"/>
          <w:sz w:val="28"/>
          <w:szCs w:val="28"/>
          <w:highlight w:val="none"/>
        </w:rPr>
      </w:pPr>
    </w:p>
    <w:p>
      <w:pPr>
        <w:tabs>
          <w:tab w:val="left" w:pos="1695"/>
          <w:tab w:val="left" w:pos="3370"/>
          <w:tab w:val="left" w:pos="5555"/>
        </w:tabs>
        <w:autoSpaceDE w:val="0"/>
        <w:autoSpaceDN w:val="0"/>
        <w:adjustRightInd w:val="0"/>
        <w:snapToGrid w:val="0"/>
        <w:spacing w:line="360" w:lineRule="auto"/>
        <w:ind w:left="1391" w:hanging="1391" w:hangingChars="495"/>
        <w:jc w:val="left"/>
        <w:rPr>
          <w:rFonts w:hint="eastAsia" w:ascii="宋体" w:hAnsi="宋体" w:cs="宋体"/>
          <w:b/>
          <w:kern w:val="0"/>
          <w:sz w:val="28"/>
          <w:szCs w:val="28"/>
          <w:highlight w:val="none"/>
        </w:rPr>
      </w:pPr>
    </w:p>
    <w:p>
      <w:pPr>
        <w:tabs>
          <w:tab w:val="left" w:pos="1695"/>
          <w:tab w:val="left" w:pos="3370"/>
          <w:tab w:val="left" w:pos="5555"/>
        </w:tabs>
        <w:autoSpaceDE w:val="0"/>
        <w:autoSpaceDN w:val="0"/>
        <w:adjustRightInd w:val="0"/>
        <w:snapToGrid w:val="0"/>
        <w:spacing w:line="360" w:lineRule="auto"/>
        <w:ind w:left="1391" w:hanging="1391" w:hangingChars="495"/>
        <w:jc w:val="left"/>
        <w:rPr>
          <w:rFonts w:hint="eastAsia" w:ascii="宋体" w:hAnsi="宋体" w:cs="宋体"/>
          <w:b/>
          <w:kern w:val="0"/>
          <w:sz w:val="28"/>
          <w:szCs w:val="28"/>
          <w:highlight w:val="none"/>
        </w:rPr>
      </w:pPr>
    </w:p>
    <w:p>
      <w:pPr>
        <w:tabs>
          <w:tab w:val="left" w:pos="1695"/>
          <w:tab w:val="left" w:pos="3370"/>
          <w:tab w:val="left" w:pos="5555"/>
        </w:tabs>
        <w:autoSpaceDE w:val="0"/>
        <w:autoSpaceDN w:val="0"/>
        <w:adjustRightInd w:val="0"/>
        <w:snapToGrid w:val="0"/>
        <w:spacing w:line="360" w:lineRule="auto"/>
        <w:ind w:left="1391" w:hanging="1391" w:hangingChars="495"/>
        <w:jc w:val="left"/>
        <w:rPr>
          <w:rFonts w:hint="eastAsia" w:ascii="宋体" w:hAnsi="宋体" w:cs="宋体"/>
          <w:b/>
          <w:kern w:val="0"/>
          <w:sz w:val="28"/>
          <w:szCs w:val="28"/>
          <w:highlight w:val="none"/>
        </w:rPr>
      </w:pPr>
    </w:p>
    <w:p>
      <w:pPr>
        <w:tabs>
          <w:tab w:val="left" w:pos="1695"/>
          <w:tab w:val="left" w:pos="3370"/>
          <w:tab w:val="left" w:pos="5555"/>
        </w:tabs>
        <w:autoSpaceDE w:val="0"/>
        <w:autoSpaceDN w:val="0"/>
        <w:adjustRightInd w:val="0"/>
        <w:snapToGrid w:val="0"/>
        <w:spacing w:line="360" w:lineRule="auto"/>
        <w:ind w:left="1391" w:hanging="1391" w:hangingChars="495"/>
        <w:jc w:val="left"/>
        <w:rPr>
          <w:rFonts w:hint="eastAsia" w:ascii="宋体" w:hAnsi="宋体" w:cs="宋体"/>
          <w:b/>
          <w:kern w:val="0"/>
          <w:sz w:val="28"/>
          <w:szCs w:val="28"/>
          <w:highlight w:val="none"/>
        </w:rPr>
      </w:pPr>
    </w:p>
    <w:p>
      <w:pPr>
        <w:tabs>
          <w:tab w:val="left" w:pos="1695"/>
          <w:tab w:val="left" w:pos="3370"/>
          <w:tab w:val="left" w:pos="5555"/>
        </w:tabs>
        <w:autoSpaceDE w:val="0"/>
        <w:autoSpaceDN w:val="0"/>
        <w:adjustRightInd w:val="0"/>
        <w:snapToGrid w:val="0"/>
        <w:spacing w:line="360" w:lineRule="auto"/>
        <w:ind w:left="1391" w:hanging="1391" w:hangingChars="495"/>
        <w:jc w:val="left"/>
        <w:rPr>
          <w:rFonts w:hint="eastAsia" w:ascii="宋体" w:hAnsi="宋体" w:cs="宋体"/>
          <w:b/>
          <w:kern w:val="0"/>
          <w:sz w:val="28"/>
          <w:szCs w:val="28"/>
          <w:highlight w:val="none"/>
        </w:rPr>
      </w:pPr>
    </w:p>
    <w:p>
      <w:pPr>
        <w:autoSpaceDE w:val="0"/>
        <w:autoSpaceDN w:val="0"/>
        <w:adjustRightInd w:val="0"/>
        <w:snapToGrid w:val="0"/>
        <w:spacing w:line="312" w:lineRule="auto"/>
        <w:jc w:val="center"/>
        <w:rPr>
          <w:rFonts w:hint="eastAsia" w:ascii="宋体" w:hAnsi="宋体" w:cs="宋体"/>
          <w:b/>
          <w:kern w:val="0"/>
          <w:sz w:val="84"/>
          <w:szCs w:val="44"/>
          <w:highlight w:val="none"/>
        </w:rPr>
      </w:pPr>
      <w:r>
        <w:rPr>
          <w:rFonts w:hint="eastAsia" w:ascii="宋体" w:hAnsi="宋体" w:cs="宋体"/>
          <w:kern w:val="0"/>
          <w:sz w:val="20"/>
          <w:szCs w:val="20"/>
          <w:highlight w:val="none"/>
        </w:rPr>
        <w:drawing>
          <wp:anchor distT="0" distB="0" distL="114300" distR="114300" simplePos="0" relativeHeight="251659264" behindDoc="0" locked="0" layoutInCell="1" allowOverlap="1">
            <wp:simplePos x="0" y="0"/>
            <wp:positionH relativeFrom="column">
              <wp:posOffset>2145665</wp:posOffset>
            </wp:positionH>
            <wp:positionV relativeFrom="paragraph">
              <wp:posOffset>845185</wp:posOffset>
            </wp:positionV>
            <wp:extent cx="1608455" cy="973455"/>
            <wp:effectExtent l="0" t="0" r="10795" b="17145"/>
            <wp:wrapNone/>
            <wp:docPr id="4" name="图片 3"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招采LOGO"/>
                    <pic:cNvPicPr>
                      <a:picLocks noChangeAspect="1"/>
                    </pic:cNvPicPr>
                  </pic:nvPicPr>
                  <pic:blipFill>
                    <a:blip r:embed="rId7"/>
                    <a:stretch>
                      <a:fillRect/>
                    </a:stretch>
                  </pic:blipFill>
                  <pic:spPr>
                    <a:xfrm>
                      <a:off x="0" y="0"/>
                      <a:ext cx="1608455" cy="973455"/>
                    </a:xfrm>
                    <a:prstGeom prst="rect">
                      <a:avLst/>
                    </a:prstGeom>
                    <a:noFill/>
                    <a:ln>
                      <a:noFill/>
                    </a:ln>
                  </pic:spPr>
                </pic:pic>
              </a:graphicData>
            </a:graphic>
          </wp:anchor>
        </w:drawing>
      </w:r>
      <w:r>
        <w:rPr>
          <w:rFonts w:hint="eastAsia" w:ascii="宋体" w:hAnsi="宋体" w:cs="宋体"/>
          <w:b/>
          <w:kern w:val="0"/>
          <w:sz w:val="84"/>
          <w:szCs w:val="44"/>
          <w:highlight w:val="none"/>
        </w:rPr>
        <w:t>招 标 文 件</w:t>
      </w:r>
    </w:p>
    <w:p>
      <w:pPr>
        <w:autoSpaceDE w:val="0"/>
        <w:autoSpaceDN w:val="0"/>
        <w:adjustRightInd w:val="0"/>
        <w:spacing w:before="120" w:beforeLines="50" w:after="120" w:afterLines="50" w:line="360" w:lineRule="auto"/>
        <w:ind w:left="105" w:leftChars="50" w:right="105" w:rightChars="50"/>
        <w:jc w:val="center"/>
        <w:rPr>
          <w:rFonts w:hint="eastAsia" w:ascii="宋体" w:hAnsi="宋体" w:cs="宋体"/>
          <w:w w:val="99"/>
          <w:kern w:val="0"/>
          <w:sz w:val="44"/>
          <w:szCs w:val="44"/>
          <w:highlight w:val="none"/>
        </w:rPr>
      </w:pPr>
    </w:p>
    <w:p>
      <w:pPr>
        <w:autoSpaceDE w:val="0"/>
        <w:autoSpaceDN w:val="0"/>
        <w:adjustRightInd w:val="0"/>
        <w:spacing w:before="120" w:beforeLines="50" w:after="120" w:afterLines="50" w:line="360" w:lineRule="auto"/>
        <w:ind w:left="105" w:leftChars="50" w:right="105" w:rightChars="50"/>
        <w:jc w:val="center"/>
        <w:rPr>
          <w:rFonts w:hint="eastAsia" w:ascii="宋体" w:hAnsi="宋体" w:cs="宋体"/>
          <w:w w:val="99"/>
          <w:kern w:val="0"/>
          <w:sz w:val="44"/>
          <w:szCs w:val="44"/>
          <w:highlight w:val="none"/>
        </w:rPr>
      </w:pPr>
    </w:p>
    <w:p>
      <w:pPr>
        <w:tabs>
          <w:tab w:val="left" w:pos="6219"/>
        </w:tabs>
        <w:autoSpaceDE w:val="0"/>
        <w:autoSpaceDN w:val="0"/>
        <w:adjustRightInd w:val="0"/>
        <w:snapToGrid w:val="0"/>
        <w:spacing w:line="312" w:lineRule="auto"/>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p>
    <w:p>
      <w:pPr>
        <w:tabs>
          <w:tab w:val="left" w:pos="6219"/>
        </w:tabs>
        <w:autoSpaceDE w:val="0"/>
        <w:autoSpaceDN w:val="0"/>
        <w:adjustRightInd w:val="0"/>
        <w:snapToGrid w:val="0"/>
        <w:spacing w:line="312" w:lineRule="auto"/>
        <w:ind w:left="-141" w:leftChars="-67" w:firstLine="1"/>
        <w:rPr>
          <w:rFonts w:hint="eastAsia" w:ascii="宋体" w:hAnsi="宋体" w:cs="宋体"/>
          <w:b/>
          <w:w w:val="99"/>
          <w:kern w:val="0"/>
          <w:sz w:val="30"/>
          <w:szCs w:val="30"/>
          <w:highlight w:val="none"/>
        </w:rPr>
      </w:pPr>
      <w:r>
        <w:rPr>
          <w:rFonts w:hint="eastAsia" w:ascii="宋体" w:hAnsi="宋体" w:cs="宋体"/>
          <w:b/>
          <w:w w:val="99"/>
          <w:kern w:val="0"/>
          <w:sz w:val="30"/>
          <w:szCs w:val="30"/>
          <w:highlight w:val="none"/>
        </w:rPr>
        <w:t>招　　标　 人：</w:t>
      </w:r>
      <w:r>
        <w:rPr>
          <w:rFonts w:hint="eastAsia" w:ascii="宋体" w:hAnsi="宋体" w:cs="宋体"/>
          <w:b/>
          <w:kern w:val="0"/>
          <w:sz w:val="30"/>
          <w:szCs w:val="30"/>
          <w:highlight w:val="none"/>
          <w:u w:val="single"/>
        </w:rPr>
        <w:t>重庆机场集团有限公司</w:t>
      </w:r>
      <w:r>
        <w:rPr>
          <w:rFonts w:hint="eastAsia" w:ascii="宋体" w:hAnsi="宋体" w:cs="宋体"/>
          <w:b/>
          <w:w w:val="99"/>
          <w:kern w:val="0"/>
          <w:sz w:val="30"/>
          <w:szCs w:val="30"/>
          <w:highlight w:val="none"/>
        </w:rPr>
        <w:t>（盖单位公章）</w:t>
      </w:r>
    </w:p>
    <w:p>
      <w:pPr>
        <w:tabs>
          <w:tab w:val="left" w:pos="6252"/>
        </w:tabs>
        <w:autoSpaceDE w:val="0"/>
        <w:autoSpaceDN w:val="0"/>
        <w:adjustRightInd w:val="0"/>
        <w:snapToGrid w:val="0"/>
        <w:spacing w:line="312" w:lineRule="auto"/>
        <w:ind w:left="8" w:leftChars="-67" w:hanging="149" w:hangingChars="47"/>
        <w:rPr>
          <w:rFonts w:hint="eastAsia" w:ascii="宋体" w:hAnsi="宋体" w:cs="宋体"/>
          <w:b/>
          <w:spacing w:val="-20"/>
          <w:w w:val="99"/>
          <w:kern w:val="0"/>
          <w:sz w:val="30"/>
          <w:szCs w:val="30"/>
          <w:highlight w:val="none"/>
        </w:rPr>
      </w:pPr>
      <w:r>
        <w:rPr>
          <w:rFonts w:hint="eastAsia" w:ascii="宋体" w:hAnsi="宋体" w:cs="宋体"/>
          <w:b/>
          <w:spacing w:val="8"/>
          <w:kern w:val="0"/>
          <w:sz w:val="30"/>
          <w:szCs w:val="30"/>
          <w:highlight w:val="none"/>
        </w:rPr>
        <w:t>招标代理机构：</w:t>
      </w:r>
      <w:r>
        <w:rPr>
          <w:rFonts w:hint="eastAsia" w:ascii="宋体" w:hAnsi="宋体" w:cs="宋体"/>
          <w:b/>
          <w:spacing w:val="-20"/>
          <w:kern w:val="0"/>
          <w:sz w:val="30"/>
          <w:szCs w:val="30"/>
          <w:highlight w:val="none"/>
          <w:u w:val="single"/>
          <w:lang w:eastAsia="zh-CN"/>
        </w:rPr>
        <w:t>重庆国际投资咨询集团有限公司</w:t>
      </w:r>
      <w:r>
        <w:rPr>
          <w:rFonts w:hint="eastAsia" w:ascii="宋体" w:hAnsi="宋体" w:cs="宋体"/>
          <w:b/>
          <w:spacing w:val="-20"/>
          <w:w w:val="99"/>
          <w:kern w:val="0"/>
          <w:sz w:val="30"/>
          <w:szCs w:val="30"/>
          <w:highlight w:val="none"/>
        </w:rPr>
        <w:t>（盖单位公章）</w:t>
      </w:r>
    </w:p>
    <w:p>
      <w:pPr>
        <w:tabs>
          <w:tab w:val="left" w:pos="6252"/>
        </w:tabs>
        <w:autoSpaceDE w:val="0"/>
        <w:autoSpaceDN w:val="0"/>
        <w:adjustRightInd w:val="0"/>
        <w:snapToGrid w:val="0"/>
        <w:spacing w:line="312" w:lineRule="auto"/>
        <w:ind w:left="8" w:leftChars="-67" w:hanging="149" w:hangingChars="47"/>
        <w:jc w:val="center"/>
        <w:rPr>
          <w:rFonts w:hint="eastAsia" w:ascii="宋体" w:hAnsi="宋体" w:cs="宋体"/>
          <w:b/>
          <w:spacing w:val="8"/>
          <w:kern w:val="0"/>
          <w:sz w:val="30"/>
          <w:szCs w:val="30"/>
          <w:highlight w:val="none"/>
        </w:rPr>
      </w:pPr>
      <w:r>
        <w:rPr>
          <w:rFonts w:hint="eastAsia" w:ascii="宋体" w:hAnsi="宋体" w:cs="宋体"/>
          <w:b/>
          <w:spacing w:val="8"/>
          <w:kern w:val="0"/>
          <w:sz w:val="30"/>
          <w:szCs w:val="30"/>
          <w:highlight w:val="none"/>
        </w:rPr>
        <w:t>2022年</w:t>
      </w:r>
      <w:r>
        <w:rPr>
          <w:rFonts w:hint="eastAsia" w:ascii="宋体" w:hAnsi="宋体" w:cs="宋体"/>
          <w:b/>
          <w:spacing w:val="8"/>
          <w:kern w:val="0"/>
          <w:sz w:val="30"/>
          <w:szCs w:val="30"/>
          <w:highlight w:val="none"/>
          <w:lang w:val="en-US" w:eastAsia="zh-CN"/>
        </w:rPr>
        <w:t>8</w:t>
      </w:r>
      <w:r>
        <w:rPr>
          <w:rFonts w:hint="eastAsia" w:ascii="宋体" w:hAnsi="宋体" w:cs="宋体"/>
          <w:b/>
          <w:spacing w:val="8"/>
          <w:kern w:val="0"/>
          <w:sz w:val="30"/>
          <w:szCs w:val="30"/>
          <w:highlight w:val="none"/>
        </w:rPr>
        <w:t>月</w:t>
      </w:r>
    </w:p>
    <w:p>
      <w:pPr>
        <w:tabs>
          <w:tab w:val="left" w:pos="6252"/>
        </w:tabs>
        <w:autoSpaceDE w:val="0"/>
        <w:autoSpaceDN w:val="0"/>
        <w:adjustRightInd w:val="0"/>
        <w:snapToGrid w:val="0"/>
        <w:spacing w:line="312" w:lineRule="auto"/>
        <w:ind w:left="8" w:leftChars="-67" w:hanging="149" w:hangingChars="47"/>
        <w:rPr>
          <w:rFonts w:hint="eastAsia" w:ascii="宋体" w:hAnsi="宋体" w:cs="宋体"/>
          <w:b/>
          <w:spacing w:val="8"/>
          <w:kern w:val="0"/>
          <w:sz w:val="30"/>
          <w:szCs w:val="30"/>
          <w:highlight w:val="none"/>
        </w:rPr>
        <w:sectPr>
          <w:headerReference r:id="rId3" w:type="default"/>
          <w:pgSz w:w="11850" w:h="16783"/>
          <w:pgMar w:top="1134" w:right="1134" w:bottom="1134" w:left="1417" w:header="850" w:footer="992" w:gutter="0"/>
          <w:pgNumType w:fmt="decimal" w:start="1"/>
          <w:cols w:space="720" w:num="1"/>
        </w:sectPr>
      </w:pPr>
    </w:p>
    <w:p>
      <w:pPr>
        <w:tabs>
          <w:tab w:val="left" w:pos="4500"/>
        </w:tabs>
        <w:autoSpaceDE w:val="0"/>
        <w:autoSpaceDN w:val="0"/>
        <w:adjustRightInd w:val="0"/>
        <w:spacing w:before="156" w:beforeLines="50" w:after="156" w:afterLines="50" w:line="360" w:lineRule="auto"/>
        <w:ind w:left="105" w:leftChars="50" w:right="105" w:rightChars="50"/>
        <w:jc w:val="center"/>
        <w:rPr>
          <w:rFonts w:hint="eastAsia" w:ascii="宋体" w:hAnsi="宋体" w:cs="宋体"/>
          <w:b/>
          <w:bCs/>
          <w:kern w:val="0"/>
          <w:sz w:val="28"/>
          <w:szCs w:val="28"/>
          <w:highlight w:val="none"/>
        </w:rPr>
      </w:pPr>
      <w:r>
        <w:rPr>
          <w:rFonts w:hint="eastAsia" w:ascii="宋体" w:hAnsi="宋体" w:cs="宋体"/>
          <w:b/>
          <w:bCs/>
          <w:kern w:val="0"/>
          <w:position w:val="-1"/>
          <w:sz w:val="28"/>
          <w:szCs w:val="28"/>
          <w:highlight w:val="none"/>
        </w:rPr>
        <w:t>目  录</w:t>
      </w:r>
    </w:p>
    <w:p>
      <w:pPr>
        <w:pStyle w:val="11"/>
        <w:tabs>
          <w:tab w:val="right" w:leader="dot" w:pos="9689"/>
        </w:tabs>
        <w:adjustRightInd w:val="0"/>
        <w:snapToGrid w:val="0"/>
        <w:spacing w:line="360" w:lineRule="auto"/>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TOC \o "1-2" \h \u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_Toc11696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第一章  招标公告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_Toc11696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1"/>
        <w:tabs>
          <w:tab w:val="right" w:leader="dot" w:pos="9689"/>
        </w:tabs>
        <w:adjustRightInd w:val="0"/>
        <w:snapToGrid w:val="0"/>
        <w:spacing w:line="360" w:lineRule="auto"/>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_Toc4303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第二章  投标人须知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_Toc4303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_Toc8493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投标人须知前附表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_Toc8493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_Toc25686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1. 总则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_Toc25686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17</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_Toc6593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2. 招标文件</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_Toc6593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19</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_Toc10685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3. 投标文件</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_Toc10685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19</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_Toc8772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4. 投标</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_Toc8772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21</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_Toc21423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5. 开标</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_Toc21423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_Toc28954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6. 评标</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_Toc28954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_Toc15299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7. 合同授予</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_Toc15299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_Toc2877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8. 重新招标和不再招标</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_Toc2877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24</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_Toc1499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9. 纪律和监督</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_Toc1499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25</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_Toc13457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10. 需要补充的其他内容</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_Toc13457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25</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1"/>
        <w:tabs>
          <w:tab w:val="right" w:leader="dot" w:pos="9689"/>
        </w:tabs>
        <w:adjustRightInd w:val="0"/>
        <w:snapToGrid w:val="0"/>
        <w:spacing w:line="360" w:lineRule="auto"/>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_Toc32687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第三章  评标办法（综合评估法）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_Toc32687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_Toc16324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评标办法前附表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_Toc16324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_Toc26023 </w:instrText>
      </w:r>
      <w:r>
        <w:rPr>
          <w:rFonts w:hint="eastAsia" w:ascii="宋体" w:hAnsi="宋体" w:cs="宋体"/>
          <w:kern w:val="0"/>
          <w:sz w:val="24"/>
          <w:szCs w:val="24"/>
          <w:highlight w:val="none"/>
        </w:rPr>
        <w:fldChar w:fldCharType="separate"/>
      </w:r>
      <w:r>
        <w:rPr>
          <w:rFonts w:hint="eastAsia" w:ascii="宋体" w:hAnsi="宋体" w:cs="宋体"/>
          <w:snapToGrid w:val="0"/>
          <w:kern w:val="0"/>
          <w:sz w:val="24"/>
          <w:szCs w:val="24"/>
          <w:highlight w:val="none"/>
        </w:rPr>
        <w:t>1. 评标方法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_Toc26023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30</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_Toc8780 </w:instrText>
      </w:r>
      <w:r>
        <w:rPr>
          <w:rFonts w:hint="eastAsia" w:ascii="宋体" w:hAnsi="宋体" w:cs="宋体"/>
          <w:kern w:val="0"/>
          <w:sz w:val="24"/>
          <w:szCs w:val="24"/>
          <w:highlight w:val="none"/>
        </w:rPr>
        <w:fldChar w:fldCharType="separate"/>
      </w:r>
      <w:r>
        <w:rPr>
          <w:rFonts w:hint="eastAsia" w:ascii="宋体" w:hAnsi="宋体" w:cs="宋体"/>
          <w:snapToGrid w:val="0"/>
          <w:kern w:val="0"/>
          <w:sz w:val="24"/>
          <w:szCs w:val="24"/>
          <w:highlight w:val="none"/>
        </w:rPr>
        <w:t>2. 评审标准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_Toc8780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30</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_Toc32610 </w:instrText>
      </w:r>
      <w:r>
        <w:rPr>
          <w:rFonts w:hint="eastAsia" w:ascii="宋体" w:hAnsi="宋体" w:cs="宋体"/>
          <w:kern w:val="0"/>
          <w:sz w:val="24"/>
          <w:szCs w:val="24"/>
          <w:highlight w:val="none"/>
        </w:rPr>
        <w:fldChar w:fldCharType="separate"/>
      </w:r>
      <w:r>
        <w:rPr>
          <w:rFonts w:hint="eastAsia" w:ascii="宋体" w:hAnsi="宋体" w:cs="宋体"/>
          <w:snapToGrid w:val="0"/>
          <w:kern w:val="0"/>
          <w:sz w:val="24"/>
          <w:szCs w:val="24"/>
          <w:highlight w:val="none"/>
        </w:rPr>
        <w:t>3. 评标程序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_Toc32610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30</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1"/>
        <w:tabs>
          <w:tab w:val="right" w:leader="dot" w:pos="9689"/>
        </w:tabs>
        <w:adjustRightInd w:val="0"/>
        <w:snapToGrid w:val="0"/>
        <w:spacing w:line="360" w:lineRule="auto"/>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_Toc5443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第四章  合同条款及格式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_Toc5443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33</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1"/>
        <w:tabs>
          <w:tab w:val="right" w:leader="dot" w:pos="9689"/>
        </w:tabs>
        <w:adjustRightInd w:val="0"/>
        <w:snapToGrid w:val="0"/>
        <w:spacing w:line="360" w:lineRule="auto"/>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_Toc22945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第五章  技术标准和要求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_Toc22945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45</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1"/>
        <w:tabs>
          <w:tab w:val="right" w:leader="dot" w:pos="9689"/>
        </w:tabs>
        <w:adjustRightInd w:val="0"/>
        <w:snapToGrid w:val="0"/>
        <w:spacing w:line="360" w:lineRule="auto"/>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_Toc4657 </w:instrText>
      </w:r>
      <w:r>
        <w:rPr>
          <w:rFonts w:hint="eastAsia" w:ascii="宋体" w:hAnsi="宋体" w:cs="宋体"/>
          <w:kern w:val="0"/>
          <w:sz w:val="24"/>
          <w:szCs w:val="24"/>
          <w:highlight w:val="none"/>
        </w:rPr>
        <w:fldChar w:fldCharType="separate"/>
      </w:r>
      <w:r>
        <w:rPr>
          <w:rFonts w:hint="eastAsia" w:ascii="宋体" w:hAnsi="宋体" w:cs="宋体"/>
          <w:sz w:val="24"/>
          <w:szCs w:val="24"/>
          <w:highlight w:val="none"/>
        </w:rPr>
        <w:t>第六章  投标文件格式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_Toc4657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47</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_Toc20598 </w:instrText>
      </w:r>
      <w:r>
        <w:rPr>
          <w:rFonts w:hint="eastAsia" w:ascii="宋体" w:hAnsi="宋体" w:cs="宋体"/>
          <w:kern w:val="0"/>
          <w:sz w:val="24"/>
          <w:szCs w:val="24"/>
          <w:highlight w:val="none"/>
        </w:rPr>
        <w:fldChar w:fldCharType="separate"/>
      </w:r>
      <w:r>
        <w:rPr>
          <w:rFonts w:hint="eastAsia" w:ascii="宋体" w:hAnsi="宋体" w:cs="宋体"/>
          <w:bCs/>
          <w:kern w:val="0"/>
          <w:sz w:val="24"/>
          <w:szCs w:val="24"/>
          <w:highlight w:val="none"/>
        </w:rPr>
        <w:t>一、投标函部分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_Toc20598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50</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_Toc13052 </w:instrText>
      </w:r>
      <w:r>
        <w:rPr>
          <w:rFonts w:hint="eastAsia" w:ascii="宋体" w:hAnsi="宋体" w:cs="宋体"/>
          <w:kern w:val="0"/>
          <w:sz w:val="24"/>
          <w:szCs w:val="24"/>
          <w:highlight w:val="none"/>
        </w:rPr>
        <w:fldChar w:fldCharType="separate"/>
      </w:r>
      <w:r>
        <w:rPr>
          <w:rFonts w:hint="eastAsia" w:ascii="宋体" w:hAnsi="宋体" w:cs="宋体"/>
          <w:bCs/>
          <w:sz w:val="24"/>
          <w:szCs w:val="24"/>
          <w:highlight w:val="none"/>
        </w:rPr>
        <w:t>二、资格审查部分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_Toc13052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55</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_Toc29659 </w:instrText>
      </w:r>
      <w:r>
        <w:rPr>
          <w:rFonts w:hint="eastAsia" w:ascii="宋体" w:hAnsi="宋体" w:cs="宋体"/>
          <w:kern w:val="0"/>
          <w:sz w:val="24"/>
          <w:szCs w:val="24"/>
          <w:highlight w:val="none"/>
        </w:rPr>
        <w:fldChar w:fldCharType="separate"/>
      </w:r>
      <w:r>
        <w:rPr>
          <w:rFonts w:hint="eastAsia" w:ascii="宋体" w:hAnsi="宋体" w:cs="宋体"/>
          <w:bCs/>
          <w:sz w:val="24"/>
          <w:szCs w:val="24"/>
          <w:highlight w:val="none"/>
        </w:rPr>
        <w:t>三、商务部分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_Toc29659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63</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pStyle w:val="12"/>
        <w:tabs>
          <w:tab w:val="right" w:leader="dot" w:pos="9689"/>
        </w:tabs>
        <w:adjustRightInd w:val="0"/>
        <w:snapToGrid w:val="0"/>
        <w:spacing w:line="360" w:lineRule="auto"/>
        <w:ind w:left="0"/>
        <w:jc w:val="left"/>
        <w:rPr>
          <w:rFonts w:hint="eastAsia" w:ascii="宋体" w:hAnsi="宋体" w:cs="宋体"/>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\l _Toc30366 </w:instrText>
      </w:r>
      <w:r>
        <w:rPr>
          <w:rFonts w:hint="eastAsia" w:ascii="宋体" w:hAnsi="宋体" w:cs="宋体"/>
          <w:kern w:val="0"/>
          <w:sz w:val="24"/>
          <w:szCs w:val="24"/>
          <w:highlight w:val="none"/>
        </w:rPr>
        <w:fldChar w:fldCharType="separate"/>
      </w:r>
      <w:r>
        <w:rPr>
          <w:rFonts w:hint="eastAsia" w:ascii="宋体" w:hAnsi="宋体" w:cs="宋体"/>
          <w:bCs/>
          <w:sz w:val="24"/>
          <w:szCs w:val="24"/>
          <w:highlight w:val="none"/>
        </w:rPr>
        <w:t>四、技术部分</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_Toc30366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67</w:t>
      </w:r>
      <w:r>
        <w:rPr>
          <w:rFonts w:hint="eastAsia" w:ascii="宋体" w:hAnsi="宋体" w:cs="宋体"/>
          <w:sz w:val="24"/>
          <w:szCs w:val="24"/>
          <w:highlight w:val="none"/>
        </w:rPr>
        <w:fldChar w:fldCharType="end"/>
      </w:r>
      <w:r>
        <w:rPr>
          <w:rFonts w:hint="eastAsia" w:ascii="宋体" w:hAnsi="宋体" w:cs="宋体"/>
          <w:kern w:val="0"/>
          <w:sz w:val="24"/>
          <w:szCs w:val="24"/>
          <w:highlight w:val="none"/>
        </w:rPr>
        <w:fldChar w:fldCharType="end"/>
      </w:r>
    </w:p>
    <w:p>
      <w:pPr>
        <w:autoSpaceDE w:val="0"/>
        <w:autoSpaceDN w:val="0"/>
        <w:adjustRightInd w:val="0"/>
        <w:snapToGrid w:val="0"/>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fldChar w:fldCharType="end"/>
      </w:r>
    </w:p>
    <w:p>
      <w:pPr>
        <w:pStyle w:val="16"/>
        <w:rPr>
          <w:rFonts w:hint="eastAsia"/>
          <w:highlight w:val="none"/>
        </w:rPr>
      </w:pPr>
      <w:r>
        <w:rPr>
          <w:rFonts w:hint="eastAsia" w:ascii="宋体" w:hAnsi="宋体" w:cs="宋体"/>
          <w:spacing w:val="2"/>
          <w:w w:val="99"/>
          <w:kern w:val="0"/>
          <w:sz w:val="44"/>
          <w:szCs w:val="44"/>
          <w:highlight w:val="none"/>
        </w:rPr>
        <w:br w:type="page"/>
      </w:r>
      <w:bookmarkStart w:id="0" w:name="_Toc26142"/>
      <w:bookmarkStart w:id="1" w:name="_Toc13971"/>
      <w:bookmarkStart w:id="2" w:name="_Toc11696"/>
      <w:r>
        <w:rPr>
          <w:rFonts w:hint="eastAsia"/>
          <w:highlight w:val="none"/>
        </w:rPr>
        <w:t>第一章  招标公告</w:t>
      </w:r>
      <w:bookmarkEnd w:id="0"/>
      <w:bookmarkEnd w:id="1"/>
      <w:bookmarkEnd w:id="2"/>
    </w:p>
    <w:p>
      <w:pPr>
        <w:adjustRightInd w:val="0"/>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重庆新机场</w:t>
      </w:r>
      <w:r>
        <w:rPr>
          <w:rFonts w:hint="eastAsia" w:ascii="宋体" w:hAnsi="宋体" w:cs="宋体"/>
          <w:b/>
          <w:szCs w:val="21"/>
          <w:highlight w:val="none"/>
          <w:lang w:eastAsia="zh-CN"/>
        </w:rPr>
        <w:t>防洪专项研究</w:t>
      </w:r>
      <w:r>
        <w:rPr>
          <w:rFonts w:hint="eastAsia" w:ascii="宋体" w:hAnsi="宋体" w:cs="宋体"/>
          <w:b/>
          <w:szCs w:val="21"/>
          <w:highlight w:val="none"/>
        </w:rPr>
        <w:t>招标公告</w:t>
      </w:r>
    </w:p>
    <w:p>
      <w:pPr>
        <w:pStyle w:val="17"/>
        <w:snapToGrid w:val="0"/>
        <w:spacing w:line="360" w:lineRule="auto"/>
        <w:ind w:firstLine="422" w:firstLineChars="200"/>
        <w:rPr>
          <w:rFonts w:hint="eastAsia" w:hAnsi="宋体" w:eastAsia="宋体" w:cs="宋体"/>
          <w:b/>
          <w:color w:val="auto"/>
          <w:sz w:val="21"/>
          <w:szCs w:val="21"/>
          <w:highlight w:val="none"/>
        </w:rPr>
      </w:pPr>
      <w:bookmarkStart w:id="3" w:name="_Toc197397085"/>
      <w:bookmarkStart w:id="4" w:name="_Toc254360744"/>
      <w:bookmarkStart w:id="5" w:name="_Toc257202648"/>
      <w:bookmarkStart w:id="6" w:name="_Toc262170258"/>
      <w:bookmarkStart w:id="7" w:name="_Toc257663111"/>
      <w:bookmarkStart w:id="8" w:name="_Toc197396147"/>
      <w:r>
        <w:rPr>
          <w:rFonts w:hint="eastAsia" w:hAnsi="宋体" w:eastAsia="宋体" w:cs="宋体"/>
          <w:b/>
          <w:color w:val="auto"/>
          <w:sz w:val="21"/>
          <w:szCs w:val="21"/>
          <w:highlight w:val="none"/>
        </w:rPr>
        <w:t>1、招标条件</w:t>
      </w:r>
    </w:p>
    <w:bookmarkEnd w:id="3"/>
    <w:bookmarkEnd w:id="4"/>
    <w:bookmarkEnd w:id="5"/>
    <w:bookmarkEnd w:id="6"/>
    <w:bookmarkEnd w:id="7"/>
    <w:bookmarkEnd w:id="8"/>
    <w:p>
      <w:pPr>
        <w:pStyle w:val="17"/>
        <w:snapToGrid w:val="0"/>
        <w:spacing w:line="360" w:lineRule="auto"/>
        <w:ind w:firstLine="420" w:firstLineChars="200"/>
        <w:rPr>
          <w:rFonts w:hint="eastAsia" w:hAnsi="宋体" w:eastAsia="宋体" w:cs="宋体"/>
          <w:b/>
          <w:color w:val="auto"/>
          <w:sz w:val="21"/>
          <w:szCs w:val="21"/>
          <w:highlight w:val="none"/>
        </w:rPr>
      </w:pPr>
      <w:bookmarkStart w:id="9" w:name="_Toc197396148"/>
      <w:bookmarkStart w:id="10" w:name="_Toc257202649"/>
      <w:bookmarkStart w:id="11" w:name="_Toc197397086"/>
      <w:bookmarkStart w:id="12" w:name="_Toc254360745"/>
      <w:bookmarkStart w:id="13" w:name="_Toc257663112"/>
      <w:r>
        <w:rPr>
          <w:rFonts w:hint="eastAsia" w:hAnsi="宋体" w:eastAsia="宋体" w:cs="宋体"/>
          <w:color w:val="auto"/>
          <w:sz w:val="21"/>
          <w:szCs w:val="21"/>
          <w:highlight w:val="none"/>
          <w:u w:val="single"/>
        </w:rPr>
        <w:t>重庆新机场</w:t>
      </w:r>
      <w:r>
        <w:rPr>
          <w:rFonts w:hint="eastAsia" w:hAnsi="宋体" w:eastAsia="宋体" w:cs="宋体"/>
          <w:color w:val="auto"/>
          <w:sz w:val="21"/>
          <w:szCs w:val="21"/>
          <w:highlight w:val="none"/>
          <w:u w:val="single"/>
          <w:lang w:eastAsia="zh-CN"/>
        </w:rPr>
        <w:t>防洪专项研究</w:t>
      </w:r>
      <w:r>
        <w:rPr>
          <w:rFonts w:hint="eastAsia" w:hAnsi="宋体" w:eastAsia="宋体" w:cs="宋体"/>
          <w:color w:val="auto"/>
          <w:sz w:val="21"/>
          <w:szCs w:val="21"/>
          <w:highlight w:val="none"/>
          <w:u w:val="none"/>
          <w:lang w:eastAsia="zh-CN"/>
        </w:rPr>
        <w:t>项目</w:t>
      </w:r>
      <w:r>
        <w:rPr>
          <w:rFonts w:hint="eastAsia" w:hAnsi="宋体" w:eastAsia="宋体" w:cs="宋体"/>
          <w:color w:val="auto"/>
          <w:sz w:val="21"/>
          <w:szCs w:val="21"/>
          <w:highlight w:val="none"/>
        </w:rPr>
        <w:t>已批准，招标人为</w:t>
      </w:r>
      <w:r>
        <w:rPr>
          <w:rFonts w:hint="eastAsia" w:hAnsi="宋体" w:eastAsia="宋体" w:cs="宋体"/>
          <w:color w:val="auto"/>
          <w:sz w:val="21"/>
          <w:szCs w:val="21"/>
          <w:highlight w:val="none"/>
          <w:u w:val="single"/>
        </w:rPr>
        <w:t>重庆机场集团有限公司</w:t>
      </w:r>
      <w:r>
        <w:rPr>
          <w:rFonts w:hint="eastAsia" w:hAnsi="宋体" w:eastAsia="宋体" w:cs="宋体"/>
          <w:color w:val="auto"/>
          <w:sz w:val="21"/>
          <w:szCs w:val="21"/>
          <w:highlight w:val="none"/>
        </w:rPr>
        <w:t>。本项目已具备招标条件，现进行公开招标。</w:t>
      </w:r>
    </w:p>
    <w:p>
      <w:pPr>
        <w:pStyle w:val="17"/>
        <w:snapToGrid w:val="0"/>
        <w:spacing w:line="360" w:lineRule="auto"/>
        <w:ind w:firstLine="422" w:firstLineChars="200"/>
        <w:rPr>
          <w:rFonts w:hint="eastAsia" w:hAnsi="宋体" w:eastAsia="宋体" w:cs="宋体"/>
          <w:b/>
          <w:color w:val="auto"/>
          <w:sz w:val="21"/>
          <w:szCs w:val="21"/>
          <w:highlight w:val="none"/>
        </w:rPr>
      </w:pPr>
      <w:r>
        <w:rPr>
          <w:rFonts w:hint="eastAsia" w:hAnsi="宋体" w:eastAsia="宋体" w:cs="宋体"/>
          <w:b/>
          <w:color w:val="auto"/>
          <w:sz w:val="21"/>
          <w:szCs w:val="21"/>
          <w:highlight w:val="none"/>
        </w:rPr>
        <w:t>2、项目概况和招标范围</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2.1 项目地点：重庆新机场推荐场址</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2.2 项目概况：重庆新机场推荐场址璧山正兴位于重庆主城西部，与朝天门直线距离约48km，处于缙云山与云雾山之间的璧山槽谷，在璧山城区西南，距离约21km，东南侧紧邻丁家街道，北侧临近正兴镇。东南方向离江津城区约20km，西南方向离永川城区约18km。重庆新机场本期计划以2035年为设计目标年，年旅客吞吐量4000万人次，货邮吞吐量100万吨；远期目标年为2050年，年旅客吞吐量7000万人次，货邮吞吐量350万吨。新机场预计规划3-4条3200米-3800米的平行跑道，飞行区等级为4F级，占地约37km²。一期建设任务预计包含新建T1航站楼、两条跑道、综合交通枢纽及相关配套设施，投资</w:t>
      </w:r>
      <w:r>
        <w:rPr>
          <w:rFonts w:hint="eastAsia" w:hAnsi="宋体" w:eastAsia="宋体" w:cs="宋体"/>
          <w:color w:val="auto"/>
          <w:sz w:val="21"/>
          <w:szCs w:val="21"/>
          <w:highlight w:val="none"/>
          <w:lang w:eastAsia="zh-CN"/>
        </w:rPr>
        <w:t>估</w:t>
      </w:r>
      <w:r>
        <w:rPr>
          <w:rFonts w:hint="eastAsia" w:hAnsi="宋体" w:eastAsia="宋体" w:cs="宋体"/>
          <w:color w:val="auto"/>
          <w:sz w:val="21"/>
          <w:szCs w:val="21"/>
          <w:highlight w:val="none"/>
        </w:rPr>
        <w:t>算</w:t>
      </w:r>
      <w:r>
        <w:rPr>
          <w:rFonts w:hint="eastAsia" w:hAnsi="宋体" w:eastAsia="宋体" w:cs="宋体"/>
          <w:color w:val="auto"/>
          <w:sz w:val="21"/>
          <w:szCs w:val="21"/>
          <w:highlight w:val="none"/>
          <w:lang w:eastAsia="zh-CN"/>
        </w:rPr>
        <w:t>约</w:t>
      </w:r>
      <w:r>
        <w:rPr>
          <w:rFonts w:hint="eastAsia" w:hAnsi="宋体" w:eastAsia="宋体" w:cs="宋体"/>
          <w:color w:val="auto"/>
          <w:sz w:val="21"/>
          <w:szCs w:val="21"/>
          <w:highlight w:val="none"/>
        </w:rPr>
        <w:t>450亿元。</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按照新机场开工建设任务安排，新机场将先期开工</w:t>
      </w:r>
      <w:r>
        <w:rPr>
          <w:rFonts w:hint="eastAsia" w:hAnsi="宋体" w:eastAsia="宋体" w:cs="宋体"/>
          <w:color w:val="auto"/>
          <w:sz w:val="21"/>
          <w:szCs w:val="21"/>
          <w:highlight w:val="none"/>
          <w:lang w:eastAsia="zh-CN"/>
        </w:rPr>
        <w:t>综合交通枢纽工程</w:t>
      </w:r>
      <w:r>
        <w:rPr>
          <w:rFonts w:hint="eastAsia" w:hAnsi="宋体" w:eastAsia="宋体" w:cs="宋体"/>
          <w:color w:val="auto"/>
          <w:sz w:val="21"/>
          <w:szCs w:val="21"/>
          <w:highlight w:val="none"/>
        </w:rPr>
        <w:t>，后期开工民航主体工程。目前，我司已委托开展新机场预可研、可研、总规报告编制和</w:t>
      </w:r>
      <w:r>
        <w:rPr>
          <w:rFonts w:hint="eastAsia" w:hAnsi="宋体" w:eastAsia="宋体" w:cs="宋体"/>
          <w:color w:val="auto"/>
          <w:sz w:val="21"/>
          <w:szCs w:val="21"/>
          <w:highlight w:val="none"/>
          <w:lang w:eastAsia="zh-CN"/>
        </w:rPr>
        <w:t>综合交通枢纽工程</w:t>
      </w:r>
      <w:r>
        <w:rPr>
          <w:rFonts w:hint="eastAsia" w:hAnsi="宋体" w:eastAsia="宋体" w:cs="宋体"/>
          <w:color w:val="auto"/>
          <w:sz w:val="21"/>
          <w:szCs w:val="21"/>
          <w:highlight w:val="none"/>
        </w:rPr>
        <w:t>立项（代可研）报告编制工作，为一体化统筹推进配套项目研究，满足</w:t>
      </w:r>
      <w:r>
        <w:rPr>
          <w:rFonts w:hint="eastAsia" w:hAnsi="宋体" w:eastAsia="宋体" w:cs="宋体"/>
          <w:color w:val="auto"/>
          <w:sz w:val="21"/>
          <w:szCs w:val="21"/>
          <w:highlight w:val="none"/>
          <w:lang w:eastAsia="zh-CN"/>
        </w:rPr>
        <w:t>新</w:t>
      </w:r>
      <w:r>
        <w:rPr>
          <w:rFonts w:hint="eastAsia" w:hAnsi="宋体" w:eastAsia="宋体" w:cs="宋体"/>
          <w:color w:val="auto"/>
          <w:sz w:val="21"/>
          <w:szCs w:val="21"/>
          <w:highlight w:val="none"/>
        </w:rPr>
        <w:t>机场工程预可研、可研、总规报告审批过程中机场防洪排涝的要求，现开展重庆新机场</w:t>
      </w:r>
      <w:r>
        <w:rPr>
          <w:rFonts w:hint="eastAsia" w:hAnsi="宋体" w:eastAsia="宋体" w:cs="宋体"/>
          <w:color w:val="auto"/>
          <w:sz w:val="21"/>
          <w:szCs w:val="21"/>
          <w:highlight w:val="none"/>
          <w:lang w:eastAsia="zh-CN"/>
        </w:rPr>
        <w:t>防洪专项研究</w:t>
      </w:r>
      <w:r>
        <w:rPr>
          <w:rFonts w:hint="eastAsia" w:hAnsi="宋体" w:eastAsia="宋体" w:cs="宋体"/>
          <w:color w:val="auto"/>
          <w:sz w:val="21"/>
          <w:szCs w:val="21"/>
          <w:highlight w:val="none"/>
        </w:rPr>
        <w:t>工作。</w:t>
      </w:r>
    </w:p>
    <w:p>
      <w:pPr>
        <w:pStyle w:val="17"/>
        <w:snapToGrid w:val="0"/>
        <w:spacing w:line="360" w:lineRule="auto"/>
        <w:ind w:firstLine="420" w:firstLineChars="200"/>
        <w:rPr>
          <w:rFonts w:hint="eastAsia" w:hAnsi="宋体" w:eastAsia="宋体" w:cs="宋体"/>
          <w:color w:val="auto"/>
          <w:sz w:val="21"/>
          <w:szCs w:val="21"/>
          <w:highlight w:val="none"/>
          <w:u w:val="single"/>
          <w:lang w:eastAsia="zh-CN"/>
        </w:rPr>
      </w:pPr>
      <w:r>
        <w:rPr>
          <w:rFonts w:hint="eastAsia" w:hAnsi="宋体" w:eastAsia="宋体" w:cs="宋体"/>
          <w:color w:val="auto"/>
          <w:sz w:val="21"/>
          <w:szCs w:val="21"/>
          <w:highlight w:val="none"/>
        </w:rPr>
        <w:t>2.3 本次招标项目合同估算金额：</w:t>
      </w:r>
      <w:r>
        <w:rPr>
          <w:rFonts w:hint="eastAsia" w:hAnsi="宋体" w:eastAsia="宋体" w:cs="宋体"/>
          <w:color w:val="auto"/>
          <w:sz w:val="21"/>
          <w:szCs w:val="21"/>
          <w:highlight w:val="none"/>
          <w:u w:val="single"/>
        </w:rPr>
        <w:t>约</w:t>
      </w:r>
      <w:r>
        <w:rPr>
          <w:rFonts w:hint="eastAsia" w:hAnsi="宋体" w:eastAsia="宋体" w:cs="宋体"/>
          <w:color w:val="auto"/>
          <w:sz w:val="21"/>
          <w:szCs w:val="21"/>
          <w:highlight w:val="none"/>
          <w:u w:val="single"/>
          <w:lang w:val="en-US" w:eastAsia="zh-CN"/>
        </w:rPr>
        <w:t>90</w:t>
      </w:r>
      <w:r>
        <w:rPr>
          <w:rFonts w:hint="eastAsia" w:hAnsi="宋体" w:eastAsia="宋体" w:cs="宋体"/>
          <w:color w:val="auto"/>
          <w:sz w:val="21"/>
          <w:szCs w:val="21"/>
          <w:highlight w:val="none"/>
          <w:u w:val="single"/>
        </w:rPr>
        <w:t>万元</w:t>
      </w:r>
      <w:r>
        <w:rPr>
          <w:rFonts w:hint="eastAsia" w:hAnsi="宋体" w:eastAsia="宋体" w:cs="宋体"/>
          <w:color w:val="auto"/>
          <w:sz w:val="21"/>
          <w:szCs w:val="21"/>
          <w:highlight w:val="none"/>
          <w:u w:val="single"/>
          <w:lang w:eastAsia="zh-CN"/>
        </w:rPr>
        <w:t>（不含增值税）</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2.4 服务周期：</w:t>
      </w:r>
    </w:p>
    <w:p>
      <w:pPr>
        <w:pStyle w:val="17"/>
        <w:snapToGrid w:val="0"/>
        <w:spacing w:line="360" w:lineRule="auto"/>
        <w:ind w:firstLine="420" w:firstLineChars="200"/>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rPr>
        <w:t>2.4.1 自招标人正式书面通知之日起，</w:t>
      </w:r>
      <w:r>
        <w:rPr>
          <w:rFonts w:hint="eastAsia" w:hAnsi="宋体" w:eastAsia="宋体" w:cs="宋体"/>
          <w:color w:val="auto"/>
          <w:sz w:val="21"/>
          <w:szCs w:val="21"/>
          <w:highlight w:val="none"/>
          <w:u w:val="single"/>
          <w:lang w:eastAsia="zh-CN"/>
        </w:rPr>
        <w:t>80个日历天</w:t>
      </w:r>
      <w:r>
        <w:rPr>
          <w:rFonts w:hint="eastAsia" w:hAnsi="宋体" w:eastAsia="宋体" w:cs="宋体"/>
          <w:color w:val="auto"/>
          <w:sz w:val="21"/>
          <w:szCs w:val="21"/>
          <w:highlight w:val="none"/>
          <w:u w:val="single"/>
        </w:rPr>
        <w:t>内完成</w:t>
      </w:r>
      <w:r>
        <w:rPr>
          <w:rFonts w:hint="eastAsia" w:hAnsi="宋体" w:eastAsia="宋体" w:cs="宋体"/>
          <w:color w:val="auto"/>
          <w:sz w:val="21"/>
          <w:szCs w:val="21"/>
          <w:highlight w:val="none"/>
          <w:u w:val="single"/>
          <w:lang w:eastAsia="zh-CN"/>
        </w:rPr>
        <w:t>防洪专项研究</w:t>
      </w:r>
      <w:r>
        <w:rPr>
          <w:rFonts w:hint="eastAsia" w:hAnsi="宋体" w:eastAsia="宋体" w:cs="宋体"/>
          <w:color w:val="auto"/>
          <w:sz w:val="21"/>
          <w:szCs w:val="21"/>
          <w:highlight w:val="none"/>
          <w:u w:val="single"/>
        </w:rPr>
        <w:t>工作报告，经业主审核</w:t>
      </w:r>
      <w:r>
        <w:rPr>
          <w:rFonts w:hint="eastAsia" w:hAnsi="宋体" w:eastAsia="宋体" w:cs="宋体"/>
          <w:color w:val="auto"/>
          <w:sz w:val="21"/>
          <w:szCs w:val="21"/>
          <w:highlight w:val="none"/>
          <w:u w:val="single"/>
          <w:lang w:eastAsia="zh-CN"/>
        </w:rPr>
        <w:t>和</w:t>
      </w:r>
      <w:r>
        <w:rPr>
          <w:rFonts w:hint="eastAsia" w:hAnsi="宋体" w:eastAsia="宋体" w:cs="宋体"/>
          <w:color w:val="auto"/>
          <w:sz w:val="21"/>
          <w:szCs w:val="21"/>
          <w:highlight w:val="none"/>
          <w:u w:val="single"/>
        </w:rPr>
        <w:t>行业内专家评审通过</w:t>
      </w:r>
      <w:r>
        <w:rPr>
          <w:rFonts w:hint="eastAsia"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rPr>
        <w:t>并满足</w:t>
      </w:r>
      <w:r>
        <w:rPr>
          <w:rFonts w:hint="eastAsia" w:hAnsi="宋体" w:eastAsia="宋体" w:cs="宋体"/>
          <w:color w:val="auto"/>
          <w:sz w:val="21"/>
          <w:szCs w:val="21"/>
          <w:highlight w:val="none"/>
          <w:u w:val="single"/>
          <w:lang w:eastAsia="zh-CN"/>
        </w:rPr>
        <w:t>新</w:t>
      </w:r>
      <w:r>
        <w:rPr>
          <w:rFonts w:hint="eastAsia" w:hAnsi="宋体" w:eastAsia="宋体" w:cs="宋体"/>
          <w:color w:val="auto"/>
          <w:sz w:val="21"/>
          <w:szCs w:val="21"/>
          <w:highlight w:val="none"/>
          <w:u w:val="single"/>
        </w:rPr>
        <w:t>机场工程预可研、可研、总规报告审批过程中机场防洪排涝的要求。</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u w:val="single"/>
        </w:rPr>
        <w:t>2.4.</w:t>
      </w:r>
      <w:r>
        <w:rPr>
          <w:rFonts w:hint="eastAsia" w:hAnsi="宋体" w:eastAsia="宋体" w:cs="宋体"/>
          <w:color w:val="auto"/>
          <w:sz w:val="21"/>
          <w:szCs w:val="21"/>
          <w:highlight w:val="none"/>
          <w:u w:val="single"/>
          <w:lang w:val="en-US" w:eastAsia="zh-CN"/>
        </w:rPr>
        <w:t>2</w:t>
      </w:r>
      <w:r>
        <w:rPr>
          <w:rFonts w:hint="eastAsia" w:hAnsi="宋体" w:eastAsia="宋体" w:cs="宋体"/>
          <w:color w:val="auto"/>
          <w:sz w:val="21"/>
          <w:szCs w:val="21"/>
          <w:highlight w:val="none"/>
          <w:u w:val="single"/>
        </w:rPr>
        <w:t xml:space="preserve"> 与本项目相关的后续支持服务工作具体时间以招标人通知为准。</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2.5 招标范围：</w:t>
      </w:r>
    </w:p>
    <w:p>
      <w:pPr>
        <w:pStyle w:val="17"/>
        <w:snapToGrid w:val="0"/>
        <w:spacing w:line="360" w:lineRule="auto"/>
        <w:ind w:firstLine="420" w:firstLineChars="200"/>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rPr>
        <w:t>2.5.1 根据招标人提供的招标要求，符合国家规定的防洪标准、岸线规划、土地利用总体规划、城乡规划和航运要求及其他技术要</w:t>
      </w:r>
      <w:r>
        <w:rPr>
          <w:rFonts w:hint="eastAsia" w:hAnsi="宋体" w:eastAsia="宋体" w:cs="宋体"/>
          <w:color w:val="auto"/>
          <w:sz w:val="21"/>
          <w:szCs w:val="21"/>
          <w:highlight w:val="none"/>
          <w:u w:val="single"/>
          <w:lang w:eastAsia="zh-CN"/>
        </w:rPr>
        <w:t>求，为避免重庆新机场建设</w:t>
      </w:r>
      <w:r>
        <w:rPr>
          <w:rFonts w:hint="eastAsia" w:hAnsi="宋体" w:eastAsia="宋体" w:cs="宋体"/>
          <w:color w:val="auto"/>
          <w:sz w:val="21"/>
          <w:szCs w:val="21"/>
          <w:highlight w:val="none"/>
          <w:u w:val="single"/>
        </w:rPr>
        <w:t>影响河势稳定、行洪畅通、堤防安全和航运安全</w:t>
      </w:r>
      <w:r>
        <w:rPr>
          <w:rFonts w:hint="eastAsia"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rPr>
        <w:t>结合重庆新机场建设项目情况，开展重庆新机场</w:t>
      </w:r>
      <w:r>
        <w:rPr>
          <w:rFonts w:hint="eastAsia" w:hAnsi="宋体" w:eastAsia="宋体" w:cs="宋体"/>
          <w:color w:val="auto"/>
          <w:sz w:val="21"/>
          <w:szCs w:val="21"/>
          <w:highlight w:val="none"/>
          <w:u w:val="single"/>
          <w:lang w:eastAsia="zh-CN"/>
        </w:rPr>
        <w:t>防洪专项研究</w:t>
      </w:r>
      <w:r>
        <w:rPr>
          <w:rFonts w:hint="eastAsia" w:hAnsi="宋体" w:eastAsia="宋体" w:cs="宋体"/>
          <w:color w:val="auto"/>
          <w:sz w:val="21"/>
          <w:szCs w:val="21"/>
          <w:highlight w:val="none"/>
          <w:u w:val="single"/>
        </w:rPr>
        <w:t>工作，</w:t>
      </w:r>
      <w:r>
        <w:rPr>
          <w:rFonts w:hint="eastAsia" w:hAnsi="宋体" w:eastAsia="宋体" w:cs="宋体"/>
          <w:color w:val="auto"/>
          <w:sz w:val="21"/>
          <w:szCs w:val="21"/>
          <w:highlight w:val="none"/>
          <w:u w:val="single"/>
          <w:lang w:eastAsia="zh-CN"/>
        </w:rPr>
        <w:t>分别对重庆新机场规划红线区域（约</w:t>
      </w:r>
      <w:r>
        <w:rPr>
          <w:rFonts w:hint="eastAsia" w:hAnsi="宋体" w:eastAsia="宋体" w:cs="宋体"/>
          <w:color w:val="auto"/>
          <w:sz w:val="21"/>
          <w:szCs w:val="21"/>
          <w:highlight w:val="none"/>
          <w:u w:val="single"/>
          <w:lang w:val="en-US" w:eastAsia="zh-CN"/>
        </w:rPr>
        <w:t>37km²，以下简称远期）和其中包含的一期建设区域（约21km²，以下简称近期）</w:t>
      </w:r>
      <w:r>
        <w:rPr>
          <w:rFonts w:hint="eastAsia" w:hAnsi="宋体" w:eastAsia="宋体" w:cs="宋体"/>
          <w:color w:val="auto"/>
          <w:sz w:val="21"/>
          <w:szCs w:val="21"/>
          <w:highlight w:val="none"/>
          <w:u w:val="single"/>
          <w:lang w:eastAsia="zh-CN"/>
        </w:rPr>
        <w:t>所涉水系进行研究和规划，其中近期规划应基于远期规划的研究成果开展。工作内容包括但不限于</w:t>
      </w:r>
      <w:r>
        <w:rPr>
          <w:rFonts w:hint="eastAsia" w:hAnsi="宋体" w:eastAsia="宋体" w:cs="宋体"/>
          <w:color w:val="auto"/>
          <w:sz w:val="21"/>
          <w:szCs w:val="21"/>
          <w:highlight w:val="none"/>
          <w:u w:val="single"/>
        </w:rPr>
        <w:t>调查水系现状、开展水文分析、规划总体布局、设计涉河方案</w:t>
      </w:r>
      <w:r>
        <w:rPr>
          <w:rFonts w:hint="eastAsia"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rPr>
        <w:t>确定初步</w:t>
      </w:r>
      <w:r>
        <w:rPr>
          <w:rFonts w:hint="eastAsia" w:hAnsi="宋体" w:eastAsia="宋体" w:cs="宋体"/>
          <w:color w:val="auto"/>
          <w:sz w:val="21"/>
          <w:szCs w:val="21"/>
          <w:highlight w:val="none"/>
          <w:u w:val="single"/>
          <w:lang w:eastAsia="zh-CN"/>
        </w:rPr>
        <w:t>河道</w:t>
      </w:r>
      <w:r>
        <w:rPr>
          <w:rFonts w:hint="eastAsia" w:hAnsi="宋体" w:eastAsia="宋体" w:cs="宋体"/>
          <w:color w:val="auto"/>
          <w:sz w:val="21"/>
          <w:szCs w:val="21"/>
          <w:highlight w:val="none"/>
          <w:u w:val="single"/>
        </w:rPr>
        <w:t>治理方案</w:t>
      </w:r>
      <w:r>
        <w:rPr>
          <w:rFonts w:hint="eastAsia" w:hAnsi="宋体" w:eastAsia="宋体" w:cs="宋体"/>
          <w:color w:val="auto"/>
          <w:sz w:val="21"/>
          <w:szCs w:val="21"/>
          <w:highlight w:val="none"/>
          <w:u w:val="single"/>
          <w:lang w:eastAsia="zh-CN"/>
        </w:rPr>
        <w:t>，以及</w:t>
      </w:r>
      <w:r>
        <w:rPr>
          <w:rFonts w:hint="eastAsia" w:hAnsi="宋体" w:eastAsia="宋体" w:cs="宋体"/>
          <w:color w:val="auto"/>
          <w:sz w:val="21"/>
          <w:szCs w:val="21"/>
          <w:highlight w:val="none"/>
          <w:u w:val="single"/>
        </w:rPr>
        <w:t>其他需要配合研究的内容，</w:t>
      </w:r>
      <w:r>
        <w:rPr>
          <w:rFonts w:hint="eastAsia" w:hAnsi="宋体" w:eastAsia="宋体" w:cs="宋体"/>
          <w:color w:val="auto"/>
          <w:sz w:val="21"/>
          <w:szCs w:val="21"/>
          <w:highlight w:val="none"/>
          <w:u w:val="single"/>
          <w:lang w:eastAsia="zh-CN"/>
        </w:rPr>
        <w:t>如：</w:t>
      </w:r>
      <w:r>
        <w:rPr>
          <w:rFonts w:hint="eastAsia" w:hAnsi="宋体" w:eastAsia="宋体" w:cs="宋体"/>
          <w:color w:val="auto"/>
          <w:sz w:val="21"/>
          <w:szCs w:val="21"/>
          <w:highlight w:val="none"/>
          <w:u w:val="single"/>
        </w:rPr>
        <w:t>场区标高</w:t>
      </w:r>
      <w:r>
        <w:rPr>
          <w:rFonts w:hint="eastAsia"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rPr>
        <w:t>机场</w:t>
      </w:r>
      <w:r>
        <w:rPr>
          <w:rFonts w:hint="eastAsia" w:hAnsi="宋体" w:eastAsia="宋体" w:cs="宋体"/>
          <w:color w:val="auto"/>
          <w:sz w:val="21"/>
          <w:szCs w:val="21"/>
          <w:highlight w:val="none"/>
          <w:u w:val="single"/>
          <w:lang w:eastAsia="zh-CN"/>
        </w:rPr>
        <w:t>近期和远期</w:t>
      </w:r>
      <w:r>
        <w:rPr>
          <w:rFonts w:hint="eastAsia" w:hAnsi="宋体" w:eastAsia="宋体" w:cs="宋体"/>
          <w:color w:val="auto"/>
          <w:sz w:val="21"/>
          <w:szCs w:val="21"/>
          <w:highlight w:val="none"/>
          <w:u w:val="single"/>
        </w:rPr>
        <w:t>防洪措施</w:t>
      </w:r>
      <w:r>
        <w:rPr>
          <w:rFonts w:hint="eastAsia"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rPr>
        <w:t>调蓄水池规划</w:t>
      </w:r>
      <w:r>
        <w:rPr>
          <w:rFonts w:hint="eastAsia" w:hAnsi="宋体" w:eastAsia="宋体" w:cs="宋体"/>
          <w:color w:val="auto"/>
          <w:sz w:val="21"/>
          <w:szCs w:val="21"/>
          <w:highlight w:val="none"/>
          <w:u w:val="single"/>
          <w:lang w:eastAsia="zh-CN"/>
        </w:rPr>
        <w:t>，</w:t>
      </w:r>
      <w:r>
        <w:rPr>
          <w:rFonts w:hint="eastAsia" w:hAnsi="宋体" w:eastAsia="宋体" w:cs="宋体"/>
          <w:color w:val="auto"/>
          <w:sz w:val="21"/>
          <w:szCs w:val="21"/>
          <w:highlight w:val="none"/>
          <w:u w:val="single"/>
        </w:rPr>
        <w:t>机场</w:t>
      </w:r>
      <w:r>
        <w:rPr>
          <w:rFonts w:hint="eastAsia" w:hAnsi="宋体" w:eastAsia="宋体" w:cs="宋体"/>
          <w:color w:val="auto"/>
          <w:sz w:val="21"/>
          <w:szCs w:val="21"/>
          <w:highlight w:val="none"/>
          <w:u w:val="single"/>
          <w:lang w:eastAsia="zh-CN"/>
        </w:rPr>
        <w:t>近期和远期</w:t>
      </w:r>
      <w:r>
        <w:rPr>
          <w:rFonts w:hint="eastAsia" w:hAnsi="宋体" w:eastAsia="宋体" w:cs="宋体"/>
          <w:color w:val="auto"/>
          <w:sz w:val="21"/>
          <w:szCs w:val="21"/>
          <w:highlight w:val="none"/>
          <w:u w:val="single"/>
        </w:rPr>
        <w:t>规划范围的外排水方案等。</w:t>
      </w:r>
      <w:r>
        <w:rPr>
          <w:rFonts w:hint="eastAsia" w:hAnsi="宋体" w:eastAsia="宋体" w:cs="宋体"/>
          <w:color w:val="auto"/>
          <w:sz w:val="21"/>
          <w:szCs w:val="21"/>
          <w:highlight w:val="none"/>
          <w:u w:val="single"/>
          <w:lang w:eastAsia="zh-CN"/>
        </w:rPr>
        <w:t>为</w:t>
      </w:r>
      <w:r>
        <w:rPr>
          <w:rFonts w:hint="eastAsia" w:hAnsi="宋体" w:eastAsia="宋体" w:cs="宋体"/>
          <w:color w:val="auto"/>
          <w:sz w:val="21"/>
          <w:szCs w:val="21"/>
          <w:highlight w:val="none"/>
          <w:u w:val="single"/>
        </w:rPr>
        <w:t>重庆新机场预可研、可研、总规报告编制和审批</w:t>
      </w:r>
      <w:r>
        <w:rPr>
          <w:rFonts w:hint="eastAsia" w:hAnsi="宋体" w:eastAsia="宋体" w:cs="宋体"/>
          <w:color w:val="auto"/>
          <w:sz w:val="21"/>
          <w:szCs w:val="21"/>
          <w:highlight w:val="none"/>
          <w:u w:val="single"/>
          <w:lang w:eastAsia="zh-CN"/>
        </w:rPr>
        <w:t>，综合交通枢纽工程</w:t>
      </w:r>
      <w:r>
        <w:rPr>
          <w:rFonts w:hint="eastAsia" w:hAnsi="宋体" w:eastAsia="宋体" w:cs="宋体"/>
          <w:color w:val="auto"/>
          <w:sz w:val="21"/>
          <w:szCs w:val="21"/>
          <w:highlight w:val="none"/>
          <w:u w:val="single"/>
        </w:rPr>
        <w:t>立项（代可研）报告编制</w:t>
      </w:r>
      <w:r>
        <w:rPr>
          <w:rFonts w:hint="eastAsia" w:hAnsi="宋体" w:eastAsia="宋体" w:cs="宋体"/>
          <w:color w:val="auto"/>
          <w:sz w:val="21"/>
          <w:szCs w:val="21"/>
          <w:highlight w:val="none"/>
          <w:u w:val="single"/>
          <w:lang w:eastAsia="zh-CN"/>
        </w:rPr>
        <w:t>，以及后续的洪水影响评价提供技术支持</w:t>
      </w:r>
      <w:r>
        <w:rPr>
          <w:rFonts w:hint="eastAsia" w:hAnsi="宋体" w:eastAsia="宋体" w:cs="宋体"/>
          <w:color w:val="auto"/>
          <w:sz w:val="21"/>
          <w:szCs w:val="21"/>
          <w:highlight w:val="none"/>
          <w:u w:val="single"/>
        </w:rPr>
        <w:t>。</w:t>
      </w:r>
    </w:p>
    <w:p>
      <w:pPr>
        <w:pStyle w:val="17"/>
        <w:snapToGrid w:val="0"/>
        <w:spacing w:line="360" w:lineRule="auto"/>
        <w:ind w:firstLine="420" w:firstLineChars="200"/>
        <w:rPr>
          <w:rFonts w:hint="eastAsia" w:hAnsi="宋体" w:eastAsia="宋体" w:cs="宋体"/>
          <w:color w:val="auto"/>
          <w:sz w:val="21"/>
          <w:szCs w:val="21"/>
          <w:highlight w:val="none"/>
          <w:u w:val="single"/>
          <w:lang w:eastAsia="zh-CN"/>
        </w:rPr>
      </w:pPr>
      <w:r>
        <w:rPr>
          <w:rFonts w:hint="eastAsia" w:hAnsi="宋体" w:eastAsia="宋体" w:cs="宋体"/>
          <w:color w:val="auto"/>
          <w:sz w:val="21"/>
          <w:szCs w:val="21"/>
          <w:highlight w:val="none"/>
          <w:u w:val="single"/>
          <w:lang w:eastAsia="zh-CN"/>
        </w:rPr>
        <w:t>防洪专项研究</w:t>
      </w:r>
      <w:r>
        <w:rPr>
          <w:rFonts w:hint="eastAsia" w:hAnsi="宋体" w:eastAsia="宋体" w:cs="宋体"/>
          <w:color w:val="auto"/>
          <w:sz w:val="21"/>
          <w:szCs w:val="21"/>
          <w:highlight w:val="none"/>
          <w:u w:val="single"/>
        </w:rPr>
        <w:t>范围应包含重庆新机场</w:t>
      </w:r>
      <w:r>
        <w:rPr>
          <w:rFonts w:hint="eastAsia" w:hAnsi="宋体" w:eastAsia="宋体" w:cs="宋体"/>
          <w:color w:val="auto"/>
          <w:sz w:val="21"/>
          <w:szCs w:val="21"/>
          <w:highlight w:val="none"/>
          <w:u w:val="single"/>
          <w:lang w:eastAsia="zh-CN"/>
        </w:rPr>
        <w:t>近期</w:t>
      </w:r>
      <w:r>
        <w:rPr>
          <w:rFonts w:hint="eastAsia" w:hAnsi="宋体" w:eastAsia="宋体" w:cs="宋体"/>
          <w:color w:val="auto"/>
          <w:sz w:val="21"/>
          <w:szCs w:val="21"/>
          <w:highlight w:val="none"/>
          <w:u w:val="single"/>
          <w:lang w:val="en-US" w:eastAsia="zh-CN"/>
        </w:rPr>
        <w:t>和</w:t>
      </w:r>
      <w:r>
        <w:rPr>
          <w:rFonts w:hint="eastAsia" w:hAnsi="宋体" w:eastAsia="宋体" w:cs="宋体"/>
          <w:color w:val="auto"/>
          <w:sz w:val="21"/>
          <w:szCs w:val="21"/>
          <w:highlight w:val="none"/>
          <w:u w:val="single"/>
          <w:lang w:eastAsia="zh-CN"/>
        </w:rPr>
        <w:t>远期范围</w:t>
      </w:r>
      <w:r>
        <w:rPr>
          <w:rFonts w:hint="eastAsia" w:hAnsi="宋体" w:eastAsia="宋体" w:cs="宋体"/>
          <w:color w:val="auto"/>
          <w:sz w:val="21"/>
          <w:szCs w:val="21"/>
          <w:highlight w:val="none"/>
          <w:u w:val="single"/>
          <w:lang w:val="en-US" w:eastAsia="zh-CN"/>
        </w:rPr>
        <w:t>，以及</w:t>
      </w:r>
      <w:r>
        <w:rPr>
          <w:rFonts w:hint="eastAsia" w:hAnsi="宋体" w:eastAsia="宋体" w:cs="宋体"/>
          <w:color w:val="auto"/>
          <w:sz w:val="21"/>
          <w:szCs w:val="21"/>
          <w:highlight w:val="none"/>
          <w:u w:val="single"/>
        </w:rPr>
        <w:t>工程可能影响的场区外流域或区域。经初步预估，共涉及6条河流（河道总长32.3km），6座水库及12座山坪塘。</w:t>
      </w:r>
      <w:r>
        <w:rPr>
          <w:rFonts w:hint="eastAsia" w:hAnsi="宋体" w:eastAsia="宋体" w:cs="宋体"/>
          <w:color w:val="auto"/>
          <w:sz w:val="21"/>
          <w:szCs w:val="21"/>
          <w:highlight w:val="none"/>
          <w:u w:val="single"/>
          <w:lang w:eastAsia="zh-CN"/>
        </w:rPr>
        <w:t>近期和远期范围图纸详见附件。</w:t>
      </w:r>
    </w:p>
    <w:p>
      <w:pPr>
        <w:pStyle w:val="17"/>
        <w:snapToGrid w:val="0"/>
        <w:spacing w:line="360" w:lineRule="auto"/>
        <w:ind w:firstLine="420" w:firstLineChars="200"/>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lang w:eastAsia="zh-CN"/>
        </w:rPr>
        <w:t>防洪专项研究</w:t>
      </w:r>
      <w:r>
        <w:rPr>
          <w:rFonts w:hint="eastAsia" w:hAnsi="宋体" w:eastAsia="宋体" w:cs="宋体"/>
          <w:color w:val="auto"/>
          <w:sz w:val="21"/>
          <w:szCs w:val="21"/>
          <w:highlight w:val="none"/>
          <w:u w:val="single"/>
        </w:rPr>
        <w:t>成果应满足行业要求</w:t>
      </w:r>
      <w:r>
        <w:rPr>
          <w:rFonts w:hint="eastAsia" w:hAnsi="宋体" w:eastAsia="宋体" w:cs="宋体"/>
          <w:color w:val="auto"/>
          <w:sz w:val="21"/>
          <w:szCs w:val="21"/>
          <w:highlight w:val="none"/>
          <w:u w:val="single"/>
          <w:lang w:eastAsia="zh-CN"/>
        </w:rPr>
        <w:t>，满足</w:t>
      </w:r>
      <w:r>
        <w:rPr>
          <w:rFonts w:hint="eastAsia" w:hAnsi="宋体" w:eastAsia="宋体" w:cs="宋体"/>
          <w:color w:val="auto"/>
          <w:sz w:val="21"/>
          <w:szCs w:val="21"/>
          <w:highlight w:val="none"/>
          <w:u w:val="single"/>
        </w:rPr>
        <w:t>重庆新机场预可研、可研、总规报告编制</w:t>
      </w:r>
      <w:r>
        <w:rPr>
          <w:rFonts w:hint="eastAsia" w:hAnsi="宋体" w:eastAsia="宋体" w:cs="宋体"/>
          <w:color w:val="auto"/>
          <w:sz w:val="21"/>
          <w:szCs w:val="21"/>
          <w:highlight w:val="none"/>
          <w:u w:val="single"/>
          <w:lang w:eastAsia="zh-CN"/>
        </w:rPr>
        <w:t>和综合交通枢纽工程</w:t>
      </w:r>
      <w:r>
        <w:rPr>
          <w:rFonts w:hint="eastAsia" w:hAnsi="宋体" w:eastAsia="宋体" w:cs="宋体"/>
          <w:color w:val="auto"/>
          <w:sz w:val="21"/>
          <w:szCs w:val="21"/>
          <w:highlight w:val="none"/>
          <w:u w:val="single"/>
        </w:rPr>
        <w:t>立项（代可研）报告编制</w:t>
      </w:r>
      <w:r>
        <w:rPr>
          <w:rFonts w:hint="eastAsia" w:hAnsi="宋体" w:eastAsia="宋体" w:cs="宋体"/>
          <w:color w:val="auto"/>
          <w:sz w:val="21"/>
          <w:szCs w:val="21"/>
          <w:highlight w:val="none"/>
          <w:u w:val="single"/>
          <w:lang w:eastAsia="zh-CN"/>
        </w:rPr>
        <w:t>需求，满足重庆新机场</w:t>
      </w:r>
      <w:r>
        <w:rPr>
          <w:rFonts w:hint="eastAsia" w:hAnsi="宋体" w:eastAsia="宋体" w:cs="宋体"/>
          <w:color w:val="auto"/>
          <w:sz w:val="21"/>
          <w:szCs w:val="21"/>
          <w:highlight w:val="none"/>
          <w:u w:val="single"/>
        </w:rPr>
        <w:t>设计、建设需要，经业主审核</w:t>
      </w:r>
      <w:r>
        <w:rPr>
          <w:rFonts w:hint="eastAsia" w:hAnsi="宋体" w:eastAsia="宋体" w:cs="宋体"/>
          <w:color w:val="auto"/>
          <w:sz w:val="21"/>
          <w:szCs w:val="21"/>
          <w:highlight w:val="none"/>
          <w:u w:val="single"/>
          <w:lang w:eastAsia="zh-CN"/>
        </w:rPr>
        <w:t>和</w:t>
      </w:r>
      <w:r>
        <w:rPr>
          <w:rFonts w:hint="eastAsia" w:hAnsi="宋体" w:eastAsia="宋体" w:cs="宋体"/>
          <w:color w:val="auto"/>
          <w:sz w:val="21"/>
          <w:szCs w:val="21"/>
          <w:highlight w:val="none"/>
          <w:u w:val="single"/>
        </w:rPr>
        <w:t>行业内专家评审通过，同时配合完成与本项目相关的后续支持服务，包括但不限于</w:t>
      </w:r>
      <w:r>
        <w:rPr>
          <w:rFonts w:hint="eastAsia" w:hAnsi="宋体" w:eastAsia="宋体" w:cs="宋体"/>
          <w:color w:val="auto"/>
          <w:sz w:val="21"/>
          <w:szCs w:val="21"/>
          <w:highlight w:val="none"/>
          <w:u w:val="single"/>
          <w:lang w:eastAsia="zh-CN"/>
        </w:rPr>
        <w:t>为重庆新机场</w:t>
      </w:r>
      <w:r>
        <w:rPr>
          <w:rFonts w:hint="eastAsia" w:hAnsi="宋体" w:eastAsia="宋体" w:cs="宋体"/>
          <w:color w:val="auto"/>
          <w:sz w:val="21"/>
          <w:szCs w:val="21"/>
          <w:highlight w:val="none"/>
          <w:u w:val="single"/>
        </w:rPr>
        <w:t>预可研、可研、总规报告审批、</w:t>
      </w:r>
      <w:r>
        <w:rPr>
          <w:rFonts w:hint="eastAsia" w:hAnsi="宋体" w:eastAsia="宋体" w:cs="宋体"/>
          <w:color w:val="auto"/>
          <w:sz w:val="21"/>
          <w:szCs w:val="21"/>
          <w:highlight w:val="none"/>
          <w:u w:val="single"/>
          <w:lang w:eastAsia="zh-CN"/>
        </w:rPr>
        <w:t>后续洪水影响评价评审通过提供技术支持，</w:t>
      </w:r>
      <w:r>
        <w:rPr>
          <w:rFonts w:hint="eastAsia" w:hAnsi="宋体" w:eastAsia="宋体" w:cs="宋体"/>
          <w:color w:val="auto"/>
          <w:sz w:val="21"/>
          <w:szCs w:val="21"/>
          <w:highlight w:val="none"/>
          <w:u w:val="single"/>
        </w:rPr>
        <w:t>根据招标人的合理要求免费进行相关汇报及成果更新、提出建议等。</w:t>
      </w:r>
    </w:p>
    <w:p>
      <w:pPr>
        <w:pStyle w:val="17"/>
        <w:snapToGrid w:val="0"/>
        <w:spacing w:line="360" w:lineRule="auto"/>
        <w:ind w:firstLine="420" w:firstLineChars="200"/>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rPr>
        <w:t>2.5.</w:t>
      </w:r>
      <w:r>
        <w:rPr>
          <w:rFonts w:hint="eastAsia" w:hAnsi="宋体" w:eastAsia="宋体" w:cs="宋体"/>
          <w:color w:val="auto"/>
          <w:sz w:val="21"/>
          <w:szCs w:val="21"/>
          <w:highlight w:val="none"/>
          <w:u w:val="single"/>
          <w:lang w:val="en-US" w:eastAsia="zh-CN"/>
        </w:rPr>
        <w:t>2</w:t>
      </w:r>
      <w:r>
        <w:rPr>
          <w:rFonts w:hint="eastAsia" w:hAnsi="宋体" w:eastAsia="宋体" w:cs="宋体"/>
          <w:color w:val="auto"/>
          <w:sz w:val="21"/>
          <w:szCs w:val="21"/>
          <w:highlight w:val="none"/>
          <w:u w:val="single"/>
        </w:rPr>
        <w:t xml:space="preserve"> 技术标准和要求详见第五章。</w:t>
      </w:r>
    </w:p>
    <w:p>
      <w:pPr>
        <w:pStyle w:val="17"/>
        <w:snapToGrid w:val="0"/>
        <w:spacing w:line="360" w:lineRule="auto"/>
        <w:ind w:firstLine="422" w:firstLineChars="200"/>
        <w:rPr>
          <w:rFonts w:hint="eastAsia" w:hAnsi="宋体" w:eastAsia="宋体" w:cs="宋体"/>
          <w:b/>
          <w:color w:val="auto"/>
          <w:sz w:val="21"/>
          <w:szCs w:val="21"/>
          <w:highlight w:val="none"/>
        </w:rPr>
      </w:pPr>
      <w:r>
        <w:rPr>
          <w:rFonts w:hint="eastAsia" w:hAnsi="宋体" w:eastAsia="宋体" w:cs="宋体"/>
          <w:b/>
          <w:color w:val="auto"/>
          <w:sz w:val="21"/>
          <w:szCs w:val="21"/>
          <w:highlight w:val="none"/>
        </w:rPr>
        <w:t>3、投标人资格要求</w:t>
      </w:r>
    </w:p>
    <w:bookmarkEnd w:id="9"/>
    <w:bookmarkEnd w:id="10"/>
    <w:bookmarkEnd w:id="11"/>
    <w:bookmarkEnd w:id="12"/>
    <w:bookmarkEnd w:id="13"/>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3.1 本次招标实行资格后审，投标人应满足下列资格条件要求：</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3.1.1 投标人必须是具有独立承担民事责任能力的在中华人民共和国境内注册的法人组织，具备合法有效的营业执照。</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3.1.2 投标人须具备建设行政主管部门颁发的有效的工程设计水利行业甲级</w:t>
      </w:r>
      <w:r>
        <w:rPr>
          <w:rFonts w:hint="eastAsia" w:hAnsi="宋体" w:eastAsia="宋体" w:cs="宋体"/>
          <w:color w:val="auto"/>
          <w:sz w:val="21"/>
          <w:szCs w:val="21"/>
          <w:highlight w:val="none"/>
          <w:lang w:val="en-US" w:eastAsia="zh-CN"/>
        </w:rPr>
        <w:t>资质或工程设计综合甲级资质</w:t>
      </w:r>
      <w:r>
        <w:rPr>
          <w:rFonts w:hint="eastAsia" w:hAnsi="宋体" w:eastAsia="宋体" w:cs="宋体"/>
          <w:color w:val="auto"/>
          <w:sz w:val="21"/>
          <w:szCs w:val="21"/>
          <w:highlight w:val="none"/>
          <w:lang w:eastAsia="zh-CN"/>
        </w:rPr>
        <w:t>。</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3.1.3 </w:t>
      </w:r>
      <w:r>
        <w:rPr>
          <w:rFonts w:hint="eastAsia" w:hAnsi="宋体" w:eastAsia="宋体" w:cs="宋体"/>
          <w:color w:val="auto"/>
          <w:sz w:val="21"/>
          <w:szCs w:val="21"/>
          <w:highlight w:val="none"/>
        </w:rPr>
        <w:t xml:space="preserve">其它要求详见投标人须知前附表1.4.1项。            </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3.2 本次招标不接受联合体投标。</w:t>
      </w:r>
    </w:p>
    <w:p>
      <w:pPr>
        <w:pStyle w:val="17"/>
        <w:snapToGrid w:val="0"/>
        <w:spacing w:line="360" w:lineRule="auto"/>
        <w:ind w:firstLine="422" w:firstLineChars="200"/>
        <w:rPr>
          <w:rFonts w:hint="eastAsia" w:hAnsi="宋体" w:eastAsia="宋体" w:cs="宋体"/>
          <w:b/>
          <w:color w:val="auto"/>
          <w:sz w:val="21"/>
          <w:szCs w:val="21"/>
          <w:highlight w:val="none"/>
        </w:rPr>
      </w:pPr>
      <w:r>
        <w:rPr>
          <w:rFonts w:hint="eastAsia" w:hAnsi="宋体" w:eastAsia="宋体" w:cs="宋体"/>
          <w:b/>
          <w:color w:val="auto"/>
          <w:sz w:val="21"/>
          <w:szCs w:val="21"/>
          <w:highlight w:val="none"/>
        </w:rPr>
        <w:t>4、招标文件的获取</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4.1 凡有意参加投标者，请于</w:t>
      </w:r>
      <w:r>
        <w:rPr>
          <w:rFonts w:hint="eastAsia" w:ascii="宋体" w:hAnsi="宋体" w:cs="宋体"/>
          <w:snapToGrid w:val="0"/>
          <w:kern w:val="0"/>
          <w:szCs w:val="21"/>
          <w:highlight w:val="none"/>
          <w:u w:val="single"/>
        </w:rPr>
        <w:t>2022</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8</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3</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日（北京时间，下同）起在</w:t>
      </w:r>
      <w:r>
        <w:rPr>
          <w:rFonts w:hint="eastAsia" w:ascii="宋体" w:hAnsi="宋体" w:cs="宋体"/>
          <w:snapToGrid w:val="0"/>
          <w:kern w:val="0"/>
          <w:szCs w:val="21"/>
          <w:highlight w:val="none"/>
          <w:u w:val="single"/>
        </w:rPr>
        <w:t>重庆市公共资源交易网（www.cqggzy.com）</w:t>
      </w:r>
      <w:r>
        <w:rPr>
          <w:rFonts w:hint="eastAsia" w:ascii="宋体" w:hAnsi="宋体" w:cs="宋体"/>
          <w:snapToGrid w:val="0"/>
          <w:kern w:val="0"/>
          <w:szCs w:val="21"/>
          <w:highlight w:val="none"/>
        </w:rPr>
        <w:t>下载招标文件、澄清、修改、补充通知、最高限价通知等全部内容。不管下载与否都视为潜在投标人全部知晓有关招投标过程和全部内容。</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4.2 投标人可在</w:t>
      </w:r>
      <w:r>
        <w:rPr>
          <w:rFonts w:hint="eastAsia" w:ascii="宋体" w:hAnsi="宋体" w:cs="宋体"/>
          <w:snapToGrid w:val="0"/>
          <w:kern w:val="0"/>
          <w:szCs w:val="21"/>
          <w:highlight w:val="none"/>
          <w:u w:val="single"/>
        </w:rPr>
        <w:t>重庆市公共资源交易网（www.cqggzy.com）</w:t>
      </w:r>
      <w:r>
        <w:rPr>
          <w:rFonts w:hint="eastAsia" w:ascii="宋体" w:hAnsi="宋体" w:cs="宋体"/>
          <w:snapToGrid w:val="0"/>
          <w:kern w:val="0"/>
          <w:szCs w:val="21"/>
          <w:highlight w:val="none"/>
        </w:rPr>
        <w:t>本项目招标公告网页下方“我要提问”栏提出疑问，提问时间从本公告发布至</w:t>
      </w:r>
      <w:r>
        <w:rPr>
          <w:rFonts w:hint="eastAsia" w:ascii="宋体" w:hAnsi="宋体" w:cs="宋体"/>
          <w:kern w:val="0"/>
          <w:szCs w:val="21"/>
          <w:highlight w:val="none"/>
          <w:u w:val="single"/>
        </w:rPr>
        <w:t>2022</w:t>
      </w:r>
      <w:r>
        <w:rPr>
          <w:rFonts w:hint="eastAsia" w:ascii="宋体" w:hAnsi="宋体" w:cs="宋体"/>
          <w:kern w:val="0"/>
          <w:szCs w:val="21"/>
          <w:highlight w:val="none"/>
        </w:rPr>
        <w:t>年</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8</w:t>
      </w:r>
      <w:r>
        <w:rPr>
          <w:rFonts w:ascii="宋体" w:hAnsi="宋体" w:cs="宋体"/>
          <w:kern w:val="0"/>
          <w:szCs w:val="21"/>
          <w:highlight w:val="none"/>
          <w:u w:val="single"/>
        </w:rPr>
        <w:t xml:space="preserve"> </w:t>
      </w:r>
      <w:r>
        <w:rPr>
          <w:rFonts w:hint="eastAsia" w:ascii="宋体" w:hAnsi="宋体" w:cs="宋体"/>
          <w:kern w:val="0"/>
          <w:szCs w:val="21"/>
          <w:highlight w:val="none"/>
        </w:rPr>
        <w:t>月</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7</w:t>
      </w:r>
      <w:r>
        <w:rPr>
          <w:rFonts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10</w:t>
      </w:r>
      <w:r>
        <w:rPr>
          <w:rFonts w:hint="eastAsia" w:ascii="宋体" w:hAnsi="宋体" w:cs="宋体"/>
          <w:szCs w:val="21"/>
          <w:highlight w:val="none"/>
        </w:rPr>
        <w:t>时</w:t>
      </w:r>
      <w:r>
        <w:rPr>
          <w:rFonts w:hint="eastAsia" w:ascii="宋体" w:hAnsi="宋体" w:cs="宋体"/>
          <w:kern w:val="0"/>
          <w:szCs w:val="21"/>
          <w:highlight w:val="none"/>
          <w:u w:val="single"/>
        </w:rPr>
        <w:t>00</w:t>
      </w:r>
      <w:r>
        <w:rPr>
          <w:rFonts w:hint="eastAsia" w:ascii="宋体" w:hAnsi="宋体" w:cs="宋体"/>
          <w:szCs w:val="21"/>
          <w:highlight w:val="none"/>
        </w:rPr>
        <w:t>分</w:t>
      </w:r>
      <w:r>
        <w:rPr>
          <w:rFonts w:hint="eastAsia" w:ascii="宋体" w:hAnsi="宋体" w:cs="宋体"/>
          <w:snapToGrid w:val="0"/>
          <w:kern w:val="0"/>
          <w:szCs w:val="21"/>
          <w:highlight w:val="none"/>
        </w:rPr>
        <w:t>（北京时间）前。</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snapToGrid w:val="0"/>
          <w:sz w:val="21"/>
          <w:szCs w:val="21"/>
          <w:highlight w:val="none"/>
        </w:rPr>
        <w:t>4.3 招标人应于</w:t>
      </w:r>
      <w:r>
        <w:rPr>
          <w:rFonts w:hint="eastAsia" w:hAnsi="宋体" w:eastAsia="宋体" w:cs="宋体"/>
          <w:sz w:val="21"/>
          <w:szCs w:val="21"/>
          <w:highlight w:val="none"/>
          <w:u w:val="single"/>
        </w:rPr>
        <w:t>2022</w:t>
      </w:r>
      <w:r>
        <w:rPr>
          <w:rFonts w:hint="eastAsia" w:hAnsi="宋体" w:eastAsia="宋体" w:cs="宋体"/>
          <w:sz w:val="21"/>
          <w:szCs w:val="21"/>
          <w:highlight w:val="none"/>
        </w:rPr>
        <w:t>年</w:t>
      </w:r>
      <w:r>
        <w:rPr>
          <w:rFonts w:hint="eastAsia" w:hAnsi="宋体" w:eastAsia="宋体" w:cs="宋体"/>
          <w:sz w:val="21"/>
          <w:szCs w:val="21"/>
          <w:highlight w:val="none"/>
          <w:u w:val="single"/>
        </w:rPr>
        <w:t xml:space="preserve"> </w:t>
      </w:r>
      <w:r>
        <w:rPr>
          <w:rFonts w:hint="eastAsia" w:hAnsi="宋体" w:eastAsia="宋体" w:cs="宋体"/>
          <w:sz w:val="21"/>
          <w:szCs w:val="21"/>
          <w:highlight w:val="none"/>
          <w:u w:val="single"/>
          <w:lang w:val="en-US" w:eastAsia="zh-CN"/>
        </w:rPr>
        <w:t>8</w:t>
      </w:r>
      <w:r>
        <w:rPr>
          <w:rFonts w:hint="eastAsia" w:hAnsi="宋体" w:eastAsia="宋体" w:cs="宋体"/>
          <w:sz w:val="21"/>
          <w:szCs w:val="21"/>
          <w:highlight w:val="none"/>
          <w:u w:val="single"/>
        </w:rPr>
        <w:t xml:space="preserve"> </w:t>
      </w:r>
      <w:r>
        <w:rPr>
          <w:rFonts w:hint="eastAsia" w:hAnsi="宋体" w:eastAsia="宋体" w:cs="宋体"/>
          <w:sz w:val="21"/>
          <w:szCs w:val="21"/>
          <w:highlight w:val="none"/>
        </w:rPr>
        <w:t>月</w:t>
      </w:r>
      <w:r>
        <w:rPr>
          <w:rFonts w:hint="eastAsia" w:hAnsi="宋体" w:eastAsia="宋体" w:cs="宋体"/>
          <w:sz w:val="21"/>
          <w:szCs w:val="21"/>
          <w:highlight w:val="none"/>
          <w:u w:val="single"/>
        </w:rPr>
        <w:t xml:space="preserve"> </w:t>
      </w:r>
      <w:r>
        <w:rPr>
          <w:rFonts w:hint="eastAsia" w:hAnsi="宋体" w:eastAsia="宋体" w:cs="宋体"/>
          <w:sz w:val="21"/>
          <w:szCs w:val="21"/>
          <w:highlight w:val="none"/>
          <w:u w:val="single"/>
          <w:lang w:val="en-US" w:eastAsia="zh-CN"/>
        </w:rPr>
        <w:t>9</w:t>
      </w:r>
      <w:r>
        <w:rPr>
          <w:rFonts w:hint="eastAsia" w:hAnsi="宋体" w:eastAsia="宋体" w:cs="宋体"/>
          <w:sz w:val="21"/>
          <w:szCs w:val="21"/>
          <w:highlight w:val="none"/>
          <w:u w:val="single"/>
        </w:rPr>
        <w:t xml:space="preserve"> </w:t>
      </w:r>
      <w:r>
        <w:rPr>
          <w:rFonts w:hint="eastAsia" w:hAnsi="宋体" w:eastAsia="宋体" w:cs="宋体"/>
          <w:sz w:val="21"/>
          <w:szCs w:val="21"/>
          <w:highlight w:val="none"/>
        </w:rPr>
        <w:t>日</w:t>
      </w:r>
      <w:r>
        <w:rPr>
          <w:rFonts w:hint="eastAsia" w:hAnsi="宋体" w:eastAsia="宋体" w:cs="宋体"/>
          <w:sz w:val="21"/>
          <w:szCs w:val="21"/>
          <w:highlight w:val="none"/>
          <w:u w:val="single"/>
        </w:rPr>
        <w:t>17</w:t>
      </w:r>
      <w:r>
        <w:rPr>
          <w:rFonts w:hint="eastAsia" w:hAnsi="宋体" w:eastAsia="宋体" w:cs="宋体"/>
          <w:sz w:val="21"/>
          <w:szCs w:val="21"/>
          <w:highlight w:val="none"/>
        </w:rPr>
        <w:t>时</w:t>
      </w:r>
      <w:r>
        <w:rPr>
          <w:rFonts w:hint="eastAsia" w:hAnsi="宋体" w:eastAsia="宋体" w:cs="宋体"/>
          <w:sz w:val="21"/>
          <w:szCs w:val="21"/>
          <w:highlight w:val="none"/>
          <w:u w:val="single"/>
        </w:rPr>
        <w:t>30</w:t>
      </w:r>
      <w:r>
        <w:rPr>
          <w:rFonts w:hint="eastAsia" w:hAnsi="宋体" w:eastAsia="宋体" w:cs="宋体"/>
          <w:sz w:val="21"/>
          <w:szCs w:val="21"/>
          <w:highlight w:val="none"/>
        </w:rPr>
        <w:t>分</w:t>
      </w:r>
      <w:r>
        <w:rPr>
          <w:rFonts w:hint="eastAsia" w:hAnsi="宋体" w:eastAsia="宋体" w:cs="宋体"/>
          <w:snapToGrid w:val="0"/>
          <w:sz w:val="21"/>
          <w:szCs w:val="21"/>
          <w:highlight w:val="none"/>
        </w:rPr>
        <w:t>（北京时间）前在</w:t>
      </w:r>
      <w:r>
        <w:rPr>
          <w:rFonts w:hint="eastAsia" w:hAnsi="宋体" w:eastAsia="宋体" w:cs="宋体"/>
          <w:snapToGrid w:val="0"/>
          <w:sz w:val="21"/>
          <w:szCs w:val="21"/>
          <w:highlight w:val="none"/>
          <w:u w:val="single"/>
        </w:rPr>
        <w:t>重庆市公共资源交易网（www.cqggzy.com）</w:t>
      </w:r>
      <w:r>
        <w:rPr>
          <w:rFonts w:hint="eastAsia" w:hAnsi="宋体" w:eastAsia="宋体" w:cs="宋体"/>
          <w:snapToGrid w:val="0"/>
          <w:sz w:val="21"/>
          <w:szCs w:val="21"/>
          <w:highlight w:val="none"/>
        </w:rPr>
        <w:t>发布澄清。</w:t>
      </w:r>
    </w:p>
    <w:p>
      <w:pPr>
        <w:pStyle w:val="17"/>
        <w:snapToGrid w:val="0"/>
        <w:spacing w:line="360" w:lineRule="auto"/>
        <w:ind w:firstLine="422" w:firstLineChars="200"/>
        <w:rPr>
          <w:rFonts w:hint="eastAsia" w:hAnsi="宋体" w:eastAsia="宋体" w:cs="宋体"/>
          <w:b/>
          <w:color w:val="auto"/>
          <w:sz w:val="21"/>
          <w:szCs w:val="21"/>
          <w:highlight w:val="none"/>
        </w:rPr>
      </w:pPr>
      <w:r>
        <w:rPr>
          <w:rFonts w:hint="eastAsia" w:hAnsi="宋体" w:eastAsia="宋体" w:cs="宋体"/>
          <w:b/>
          <w:color w:val="auto"/>
          <w:sz w:val="21"/>
          <w:szCs w:val="21"/>
          <w:highlight w:val="none"/>
        </w:rPr>
        <w:t>5、投标文件的递交</w:t>
      </w: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5.1 投标文件递交的截止时间（投标截止时间，下同）为</w:t>
      </w:r>
      <w:r>
        <w:rPr>
          <w:rFonts w:hint="eastAsia" w:ascii="宋体" w:hAnsi="宋体" w:cs="宋体"/>
          <w:kern w:val="0"/>
          <w:szCs w:val="21"/>
          <w:highlight w:val="none"/>
          <w:u w:val="single"/>
        </w:rPr>
        <w:t>2022</w:t>
      </w:r>
      <w:r>
        <w:rPr>
          <w:rFonts w:hint="eastAsia" w:ascii="宋体" w:hAnsi="宋体" w:cs="宋体"/>
          <w:kern w:val="0"/>
          <w:szCs w:val="21"/>
          <w:highlight w:val="none"/>
        </w:rPr>
        <w:t>年</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8</w:t>
      </w:r>
      <w:r>
        <w:rPr>
          <w:rFonts w:ascii="宋体" w:hAnsi="宋体" w:cs="宋体"/>
          <w:kern w:val="0"/>
          <w:szCs w:val="21"/>
          <w:highlight w:val="none"/>
          <w:u w:val="single"/>
        </w:rPr>
        <w:t xml:space="preserve"> </w:t>
      </w:r>
      <w:r>
        <w:rPr>
          <w:rFonts w:hint="eastAsia" w:ascii="宋体" w:hAnsi="宋体" w:cs="宋体"/>
          <w:kern w:val="0"/>
          <w:szCs w:val="21"/>
          <w:highlight w:val="none"/>
        </w:rPr>
        <w:t>月</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25</w:t>
      </w:r>
      <w:r>
        <w:rPr>
          <w:rFonts w:ascii="宋体" w:hAnsi="宋体" w:cs="宋体"/>
          <w:kern w:val="0"/>
          <w:szCs w:val="21"/>
          <w:highlight w:val="none"/>
          <w:u w:val="single"/>
        </w:rPr>
        <w:t xml:space="preserve"> </w:t>
      </w:r>
      <w:r>
        <w:rPr>
          <w:rFonts w:hint="eastAsia" w:ascii="宋体" w:hAnsi="宋体" w:cs="宋体"/>
          <w:kern w:val="0"/>
          <w:szCs w:val="21"/>
          <w:highlight w:val="none"/>
        </w:rPr>
        <w:t>日</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09</w:t>
      </w:r>
      <w:r>
        <w:rPr>
          <w:rFonts w:ascii="宋体" w:hAnsi="宋体" w:cs="宋体"/>
          <w:kern w:val="0"/>
          <w:szCs w:val="21"/>
          <w:highlight w:val="none"/>
          <w:u w:val="single"/>
        </w:rPr>
        <w:t xml:space="preserve"> </w:t>
      </w:r>
      <w:r>
        <w:rPr>
          <w:rFonts w:hint="eastAsia" w:ascii="宋体" w:hAnsi="宋体" w:cs="宋体"/>
          <w:szCs w:val="21"/>
          <w:highlight w:val="none"/>
        </w:rPr>
        <w:t>时</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30</w:t>
      </w:r>
      <w:r>
        <w:rPr>
          <w:rFonts w:ascii="宋体" w:hAnsi="宋体" w:cs="宋体"/>
          <w:kern w:val="0"/>
          <w:szCs w:val="21"/>
          <w:highlight w:val="none"/>
          <w:u w:val="single"/>
        </w:rPr>
        <w:t xml:space="preserve"> </w:t>
      </w:r>
      <w:r>
        <w:rPr>
          <w:rFonts w:hint="eastAsia" w:ascii="宋体" w:hAnsi="宋体" w:cs="宋体"/>
          <w:szCs w:val="21"/>
          <w:highlight w:val="none"/>
        </w:rPr>
        <w:t>分</w:t>
      </w:r>
      <w:r>
        <w:rPr>
          <w:rFonts w:hint="eastAsia" w:ascii="宋体" w:hAnsi="宋体" w:cs="宋体"/>
          <w:snapToGrid w:val="0"/>
          <w:kern w:val="0"/>
          <w:szCs w:val="21"/>
          <w:highlight w:val="none"/>
        </w:rPr>
        <w:t>，地点为</w:t>
      </w:r>
      <w:r>
        <w:rPr>
          <w:rFonts w:hint="eastAsia" w:ascii="宋体" w:hAnsi="宋体" w:cs="宋体"/>
          <w:snapToGrid w:val="0"/>
          <w:kern w:val="0"/>
          <w:szCs w:val="21"/>
          <w:highlight w:val="none"/>
          <w:u w:val="single"/>
        </w:rPr>
        <w:t>重庆市公共资源交易中心（重庆市渝北</w:t>
      </w:r>
      <w:bookmarkStart w:id="195" w:name="_GoBack"/>
      <w:bookmarkEnd w:id="195"/>
      <w:r>
        <w:rPr>
          <w:rFonts w:hint="eastAsia" w:ascii="宋体" w:hAnsi="宋体" w:cs="宋体"/>
          <w:snapToGrid w:val="0"/>
          <w:kern w:val="0"/>
          <w:szCs w:val="21"/>
          <w:highlight w:val="none"/>
          <w:u w:val="single"/>
        </w:rPr>
        <w:t>区清枫北路6号渝兴广场B10栋），具体房间号见当天展示牌或查阅《重庆市公共资源交易网》（网址：http://www.cqggzy.com）网上的开标安排。采用纸质文件递交</w:t>
      </w:r>
      <w:r>
        <w:rPr>
          <w:rFonts w:hint="eastAsia" w:ascii="宋体" w:hAnsi="宋体" w:cs="宋体"/>
          <w:snapToGrid w:val="0"/>
          <w:kern w:val="0"/>
          <w:szCs w:val="21"/>
          <w:highlight w:val="none"/>
        </w:rPr>
        <w:t>。</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snapToGrid w:val="0"/>
          <w:sz w:val="21"/>
          <w:szCs w:val="21"/>
          <w:highlight w:val="none"/>
        </w:rPr>
        <w:t>5.2 逾期送达的或者未送达指定地点的投标文件，招标人不予受理。</w:t>
      </w:r>
    </w:p>
    <w:p>
      <w:pPr>
        <w:pStyle w:val="17"/>
        <w:snapToGrid w:val="0"/>
        <w:spacing w:line="360" w:lineRule="auto"/>
        <w:ind w:firstLine="422" w:firstLineChars="200"/>
        <w:rPr>
          <w:rFonts w:hint="eastAsia" w:hAnsi="宋体" w:eastAsia="宋体" w:cs="宋体"/>
          <w:b/>
          <w:color w:val="auto"/>
          <w:sz w:val="21"/>
          <w:szCs w:val="21"/>
          <w:highlight w:val="none"/>
        </w:rPr>
      </w:pPr>
      <w:r>
        <w:rPr>
          <w:rFonts w:hint="eastAsia" w:hAnsi="宋体" w:eastAsia="宋体" w:cs="宋体"/>
          <w:b/>
          <w:color w:val="auto"/>
          <w:sz w:val="21"/>
          <w:szCs w:val="21"/>
          <w:highlight w:val="none"/>
        </w:rPr>
        <w:t>6、发布公告的媒介</w:t>
      </w: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本次招标公告同时在《重庆市公共资源交易网》和《中国招标投标公共服务平台》网上发布。</w:t>
      </w:r>
    </w:p>
    <w:p>
      <w:pPr>
        <w:pStyle w:val="17"/>
        <w:snapToGrid w:val="0"/>
        <w:spacing w:line="360" w:lineRule="auto"/>
        <w:ind w:firstLine="422" w:firstLineChars="200"/>
        <w:rPr>
          <w:rFonts w:hint="eastAsia" w:hAnsi="宋体" w:eastAsia="宋体" w:cs="宋体"/>
          <w:b/>
          <w:color w:val="auto"/>
          <w:sz w:val="21"/>
          <w:szCs w:val="21"/>
          <w:highlight w:val="none"/>
        </w:rPr>
      </w:pPr>
      <w:r>
        <w:rPr>
          <w:rFonts w:hint="eastAsia" w:hAnsi="宋体" w:eastAsia="宋体" w:cs="宋体"/>
          <w:b/>
          <w:color w:val="auto"/>
          <w:sz w:val="21"/>
          <w:szCs w:val="21"/>
          <w:highlight w:val="none"/>
        </w:rPr>
        <w:t>7、其他</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7.1</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本招标项目的监督部门为重庆机场集团有限公司审计法务部。</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7.2</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招标文件售价：0元。</w:t>
      </w:r>
    </w:p>
    <w:p>
      <w:pPr>
        <w:pStyle w:val="17"/>
        <w:snapToGrid w:val="0"/>
        <w:spacing w:line="360" w:lineRule="auto"/>
        <w:ind w:firstLine="422" w:firstLineChars="200"/>
        <w:rPr>
          <w:rFonts w:hint="eastAsia" w:hAnsi="宋体" w:eastAsia="宋体" w:cs="宋体"/>
          <w:b/>
          <w:color w:val="auto"/>
          <w:sz w:val="21"/>
          <w:szCs w:val="21"/>
          <w:highlight w:val="none"/>
        </w:rPr>
      </w:pPr>
      <w:r>
        <w:rPr>
          <w:rFonts w:hint="eastAsia" w:hAnsi="宋体" w:eastAsia="宋体" w:cs="宋体"/>
          <w:b/>
          <w:color w:val="auto"/>
          <w:sz w:val="21"/>
          <w:szCs w:val="21"/>
          <w:highlight w:val="none"/>
        </w:rPr>
        <w:t>8、联系方式</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招标人：重庆机场集团有限公司</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地址：重庆江北国际机场</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联系人：李先生</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电话：023-67153238     </w:t>
      </w:r>
    </w:p>
    <w:p>
      <w:pPr>
        <w:pStyle w:val="17"/>
        <w:snapToGrid w:val="0"/>
        <w:spacing w:line="360" w:lineRule="auto"/>
        <w:ind w:firstLine="420" w:firstLineChars="200"/>
        <w:rPr>
          <w:rFonts w:hint="eastAsia" w:hAnsi="宋体" w:eastAsia="宋体" w:cs="宋体"/>
          <w:color w:val="auto"/>
          <w:sz w:val="21"/>
          <w:szCs w:val="21"/>
          <w:highlight w:val="none"/>
        </w:rPr>
      </w:pP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招标代理机构：</w:t>
      </w:r>
      <w:r>
        <w:rPr>
          <w:rFonts w:hint="eastAsia" w:hAnsi="宋体" w:eastAsia="宋体" w:cs="宋体"/>
          <w:color w:val="auto"/>
          <w:sz w:val="21"/>
          <w:szCs w:val="21"/>
          <w:highlight w:val="none"/>
          <w:lang w:eastAsia="zh-CN"/>
        </w:rPr>
        <w:t>重庆国际投资咨询集团有限公司</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地址：重庆市江北区五里店五简路2号重庆咨询大厦A座</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联系人：易先生</w:t>
      </w:r>
    </w:p>
    <w:p>
      <w:pPr>
        <w:pStyle w:val="17"/>
        <w:snapToGrid w:val="0"/>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电话：023-67707425</w:t>
      </w:r>
    </w:p>
    <w:p>
      <w:pPr>
        <w:pStyle w:val="16"/>
        <w:rPr>
          <w:rFonts w:hint="eastAsia"/>
          <w:highlight w:val="none"/>
        </w:rPr>
      </w:pPr>
      <w:r>
        <w:rPr>
          <w:rFonts w:hint="eastAsia"/>
          <w:highlight w:val="none"/>
        </w:rPr>
        <w:br w:type="page"/>
      </w:r>
      <w:bookmarkStart w:id="14" w:name="_Toc26851"/>
      <w:bookmarkStart w:id="15" w:name="_Toc4303"/>
      <w:bookmarkStart w:id="16" w:name="_Toc12214"/>
      <w:r>
        <w:rPr>
          <w:rFonts w:hint="eastAsia"/>
          <w:highlight w:val="none"/>
        </w:rPr>
        <w:t>第二章  投标人须知</w:t>
      </w:r>
      <w:bookmarkEnd w:id="14"/>
      <w:bookmarkEnd w:id="15"/>
      <w:bookmarkEnd w:id="16"/>
    </w:p>
    <w:p>
      <w:pPr>
        <w:pStyle w:val="18"/>
        <w:spacing w:before="93" w:after="62"/>
        <w:rPr>
          <w:rFonts w:hint="eastAsia"/>
          <w:highlight w:val="none"/>
        </w:rPr>
      </w:pPr>
      <w:bookmarkStart w:id="17" w:name="_Toc13097"/>
      <w:bookmarkStart w:id="18" w:name="_Toc15293"/>
      <w:bookmarkStart w:id="19" w:name="_Toc8493"/>
      <w:r>
        <w:rPr>
          <w:rFonts w:hint="eastAsia"/>
          <w:highlight w:val="none"/>
        </w:rPr>
        <w:t>投标人须知前附表</w:t>
      </w:r>
      <w:bookmarkEnd w:id="17"/>
      <w:bookmarkEnd w:id="18"/>
      <w:bookmarkEnd w:id="19"/>
    </w:p>
    <w:tbl>
      <w:tblPr>
        <w:tblStyle w:val="15"/>
        <w:tblW w:w="9323" w:type="dxa"/>
        <w:jc w:val="center"/>
        <w:tblInd w:w="0" w:type="dxa"/>
        <w:tblLayout w:type="fixed"/>
        <w:tblCellMar>
          <w:top w:w="0" w:type="dxa"/>
          <w:left w:w="0" w:type="dxa"/>
          <w:bottom w:w="0" w:type="dxa"/>
          <w:right w:w="0" w:type="dxa"/>
        </w:tblCellMar>
      </w:tblPr>
      <w:tblGrid>
        <w:gridCol w:w="1164"/>
        <w:gridCol w:w="1701"/>
        <w:gridCol w:w="6458"/>
      </w:tblGrid>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条款名称</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210" w:firstLineChars="100"/>
              <w:jc w:val="center"/>
              <w:rPr>
                <w:rFonts w:hint="eastAsia" w:ascii="宋体" w:hAnsi="宋体" w:cs="宋体"/>
                <w:kern w:val="0"/>
                <w:szCs w:val="21"/>
                <w:highlight w:val="none"/>
              </w:rPr>
            </w:pPr>
            <w:r>
              <w:rPr>
                <w:rFonts w:hint="eastAsia" w:ascii="宋体" w:hAnsi="宋体" w:cs="宋体"/>
                <w:kern w:val="0"/>
                <w:szCs w:val="21"/>
                <w:highlight w:val="none"/>
              </w:rPr>
              <w:t>编列内容</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招标人</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名称：重庆机场集团有限公司</w:t>
            </w:r>
          </w:p>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地址：重庆江北国际机场</w:t>
            </w:r>
          </w:p>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联系人：李先生</w:t>
            </w:r>
          </w:p>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电话：023-67153238</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1.1.3</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招标</w:t>
            </w:r>
            <w:r>
              <w:rPr>
                <w:rFonts w:hint="eastAsia" w:ascii="宋体" w:hAnsi="宋体" w:cs="宋体"/>
                <w:spacing w:val="-2"/>
                <w:kern w:val="0"/>
                <w:szCs w:val="21"/>
                <w:highlight w:val="none"/>
              </w:rPr>
              <w:t>代</w:t>
            </w:r>
            <w:r>
              <w:rPr>
                <w:rFonts w:hint="eastAsia" w:ascii="宋体" w:hAnsi="宋体" w:cs="宋体"/>
                <w:kern w:val="0"/>
                <w:szCs w:val="21"/>
                <w:highlight w:val="none"/>
              </w:rPr>
              <w:t>理</w:t>
            </w:r>
            <w:r>
              <w:rPr>
                <w:rFonts w:hint="eastAsia" w:ascii="宋体" w:hAnsi="宋体" w:cs="宋体"/>
                <w:spacing w:val="-2"/>
                <w:kern w:val="0"/>
                <w:szCs w:val="21"/>
                <w:highlight w:val="none"/>
              </w:rPr>
              <w:t>机</w:t>
            </w:r>
            <w:r>
              <w:rPr>
                <w:rFonts w:hint="eastAsia" w:ascii="宋体" w:hAnsi="宋体" w:cs="宋体"/>
                <w:kern w:val="0"/>
                <w:szCs w:val="21"/>
                <w:highlight w:val="none"/>
              </w:rPr>
              <w:t>构</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招标代理机构：</w:t>
            </w:r>
            <w:r>
              <w:rPr>
                <w:rFonts w:hint="eastAsia" w:ascii="宋体" w:hAnsi="宋体" w:cs="宋体"/>
                <w:kern w:val="0"/>
                <w:szCs w:val="21"/>
                <w:highlight w:val="none"/>
                <w:lang w:eastAsia="zh-CN"/>
              </w:rPr>
              <w:t>重庆国际投资咨询集团有限公司</w:t>
            </w:r>
          </w:p>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单位地址：重庆市江北区五里店五简路2号重庆咨询大厦A座</w:t>
            </w:r>
          </w:p>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联系人：易先生</w:t>
            </w:r>
          </w:p>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联系电话：023-67707425</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1.1.4</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招标</w:t>
            </w:r>
            <w:r>
              <w:rPr>
                <w:rFonts w:hint="eastAsia" w:ascii="宋体" w:hAnsi="宋体" w:cs="宋体"/>
                <w:spacing w:val="-2"/>
                <w:kern w:val="0"/>
                <w:szCs w:val="21"/>
                <w:highlight w:val="none"/>
              </w:rPr>
              <w:t>项</w:t>
            </w:r>
            <w:r>
              <w:rPr>
                <w:rFonts w:hint="eastAsia" w:ascii="宋体" w:hAnsi="宋体" w:cs="宋体"/>
                <w:kern w:val="0"/>
                <w:szCs w:val="21"/>
                <w:highlight w:val="none"/>
              </w:rPr>
              <w:t>目</w:t>
            </w:r>
            <w:r>
              <w:rPr>
                <w:rFonts w:hint="eastAsia" w:ascii="宋体" w:hAnsi="宋体" w:cs="宋体"/>
                <w:spacing w:val="-2"/>
                <w:kern w:val="0"/>
                <w:szCs w:val="21"/>
                <w:highlight w:val="none"/>
              </w:rPr>
              <w:t>名</w:t>
            </w:r>
            <w:r>
              <w:rPr>
                <w:rFonts w:hint="eastAsia" w:ascii="宋体" w:hAnsi="宋体" w:cs="宋体"/>
                <w:kern w:val="0"/>
                <w:szCs w:val="21"/>
                <w:highlight w:val="none"/>
              </w:rPr>
              <w:t>称</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重庆新机场</w:t>
            </w:r>
            <w:r>
              <w:rPr>
                <w:rFonts w:hint="eastAsia" w:ascii="宋体" w:hAnsi="宋体" w:cs="宋体"/>
                <w:kern w:val="0"/>
                <w:szCs w:val="21"/>
                <w:highlight w:val="none"/>
                <w:lang w:eastAsia="zh-CN"/>
              </w:rPr>
              <w:t>防洪专项研究</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1.1.5</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项目</w:t>
            </w:r>
            <w:r>
              <w:rPr>
                <w:rFonts w:hint="eastAsia" w:ascii="宋体" w:hAnsi="宋体" w:cs="宋体"/>
                <w:spacing w:val="-2"/>
                <w:kern w:val="0"/>
                <w:szCs w:val="21"/>
                <w:highlight w:val="none"/>
              </w:rPr>
              <w:t>地</w:t>
            </w:r>
            <w:r>
              <w:rPr>
                <w:rFonts w:hint="eastAsia" w:ascii="宋体" w:hAnsi="宋体" w:cs="宋体"/>
                <w:kern w:val="0"/>
                <w:szCs w:val="21"/>
                <w:highlight w:val="none"/>
              </w:rPr>
              <w:t>点</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i/>
                <w:snapToGrid w:val="0"/>
                <w:kern w:val="0"/>
                <w:szCs w:val="21"/>
                <w:highlight w:val="none"/>
              </w:rPr>
            </w:pPr>
            <w:r>
              <w:rPr>
                <w:rFonts w:hint="eastAsia" w:ascii="宋体" w:hAnsi="宋体" w:cs="宋体"/>
                <w:szCs w:val="21"/>
                <w:highlight w:val="none"/>
              </w:rPr>
              <w:t>重庆新机场推荐场址</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1.1.6</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项目</w:t>
            </w:r>
            <w:r>
              <w:rPr>
                <w:rFonts w:hint="eastAsia" w:ascii="宋体" w:hAnsi="宋体" w:cs="宋体"/>
                <w:spacing w:val="-2"/>
                <w:kern w:val="0"/>
                <w:szCs w:val="21"/>
                <w:highlight w:val="none"/>
              </w:rPr>
              <w:t>规</w:t>
            </w:r>
            <w:r>
              <w:rPr>
                <w:rFonts w:hint="eastAsia" w:ascii="宋体" w:hAnsi="宋体" w:cs="宋体"/>
                <w:kern w:val="0"/>
                <w:szCs w:val="21"/>
                <w:highlight w:val="none"/>
              </w:rPr>
              <w:t>模</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snapToGrid w:val="0"/>
                <w:kern w:val="0"/>
                <w:szCs w:val="21"/>
                <w:highlight w:val="none"/>
              </w:rPr>
              <w:t>见招标公告</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1.2.1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资金</w:t>
            </w:r>
            <w:r>
              <w:rPr>
                <w:rFonts w:hint="eastAsia" w:ascii="宋体" w:hAnsi="宋体" w:cs="宋体"/>
                <w:spacing w:val="-2"/>
                <w:kern w:val="0"/>
                <w:szCs w:val="21"/>
                <w:highlight w:val="none"/>
              </w:rPr>
              <w:t>来</w:t>
            </w:r>
            <w:r>
              <w:rPr>
                <w:rFonts w:hint="eastAsia" w:ascii="宋体" w:hAnsi="宋体" w:cs="宋体"/>
                <w:kern w:val="0"/>
                <w:szCs w:val="21"/>
                <w:highlight w:val="none"/>
              </w:rPr>
              <w:t>源</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企业自筹</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1.2.2</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资金</w:t>
            </w:r>
            <w:r>
              <w:rPr>
                <w:rFonts w:hint="eastAsia" w:ascii="宋体" w:hAnsi="宋体" w:cs="宋体"/>
                <w:spacing w:val="-2"/>
                <w:kern w:val="0"/>
                <w:szCs w:val="21"/>
                <w:highlight w:val="none"/>
              </w:rPr>
              <w:t>落</w:t>
            </w:r>
            <w:r>
              <w:rPr>
                <w:rFonts w:hint="eastAsia" w:ascii="宋体" w:hAnsi="宋体" w:cs="宋体"/>
                <w:kern w:val="0"/>
                <w:szCs w:val="21"/>
                <w:highlight w:val="none"/>
              </w:rPr>
              <w:t>实</w:t>
            </w:r>
            <w:r>
              <w:rPr>
                <w:rFonts w:hint="eastAsia" w:ascii="宋体" w:hAnsi="宋体" w:cs="宋体"/>
                <w:spacing w:val="-2"/>
                <w:kern w:val="0"/>
                <w:szCs w:val="21"/>
                <w:highlight w:val="none"/>
              </w:rPr>
              <w:t>情</w:t>
            </w:r>
            <w:r>
              <w:rPr>
                <w:rFonts w:hint="eastAsia" w:ascii="宋体" w:hAnsi="宋体" w:cs="宋体"/>
                <w:kern w:val="0"/>
                <w:szCs w:val="21"/>
                <w:highlight w:val="none"/>
              </w:rPr>
              <w:t>况</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u w:val="single"/>
              </w:rPr>
              <w:t>已落实</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招标</w:t>
            </w:r>
            <w:r>
              <w:rPr>
                <w:rFonts w:hint="eastAsia" w:ascii="宋体" w:hAnsi="宋体" w:cs="宋体"/>
                <w:spacing w:val="-2"/>
                <w:kern w:val="0"/>
                <w:szCs w:val="21"/>
                <w:highlight w:val="none"/>
              </w:rPr>
              <w:t>范</w:t>
            </w:r>
            <w:r>
              <w:rPr>
                <w:rFonts w:hint="eastAsia" w:ascii="宋体" w:hAnsi="宋体" w:cs="宋体"/>
                <w:kern w:val="0"/>
                <w:szCs w:val="21"/>
                <w:highlight w:val="none"/>
              </w:rPr>
              <w:t>围</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u w:val="single"/>
              </w:rPr>
              <w:t>见招标公告</w:t>
            </w:r>
          </w:p>
        </w:tc>
      </w:tr>
      <w:tr>
        <w:tblPrEx>
          <w:tblLayout w:type="fixed"/>
          <w:tblCellMar>
            <w:top w:w="0" w:type="dxa"/>
            <w:left w:w="0" w:type="dxa"/>
            <w:bottom w:w="0" w:type="dxa"/>
            <w:right w:w="0" w:type="dxa"/>
          </w:tblCellMar>
        </w:tblPrEx>
        <w:trPr>
          <w:trHeight w:val="375"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1.3.2</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spacing w:val="-2"/>
                <w:kern w:val="0"/>
                <w:szCs w:val="21"/>
                <w:highlight w:val="none"/>
              </w:rPr>
              <w:t>服</w:t>
            </w:r>
            <w:r>
              <w:rPr>
                <w:rFonts w:hint="eastAsia" w:ascii="宋体" w:hAnsi="宋体" w:cs="宋体"/>
                <w:kern w:val="0"/>
                <w:szCs w:val="21"/>
                <w:highlight w:val="none"/>
              </w:rPr>
              <w:t>务</w:t>
            </w:r>
            <w:r>
              <w:rPr>
                <w:rFonts w:hint="eastAsia" w:ascii="宋体" w:hAnsi="宋体" w:cs="宋体"/>
                <w:spacing w:val="-2"/>
                <w:kern w:val="0"/>
                <w:szCs w:val="21"/>
                <w:highlight w:val="none"/>
              </w:rPr>
              <w:t>期</w:t>
            </w:r>
            <w:r>
              <w:rPr>
                <w:rFonts w:hint="eastAsia" w:ascii="宋体" w:hAnsi="宋体" w:cs="宋体"/>
                <w:kern w:val="0"/>
                <w:szCs w:val="21"/>
                <w:highlight w:val="none"/>
              </w:rPr>
              <w:t>限</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snapToGrid w:val="0"/>
                <w:kern w:val="0"/>
                <w:szCs w:val="21"/>
                <w:highlight w:val="none"/>
                <w:u w:val="single"/>
              </w:rPr>
              <w:t>见招标公告</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1.3.3</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szCs w:val="21"/>
                <w:highlight w:val="none"/>
              </w:rPr>
            </w:pPr>
            <w:r>
              <w:rPr>
                <w:rFonts w:hint="eastAsia" w:ascii="宋体" w:hAnsi="宋体" w:cs="宋体"/>
                <w:szCs w:val="21"/>
                <w:highlight w:val="none"/>
              </w:rPr>
              <w:t>质量标准</w:t>
            </w:r>
          </w:p>
        </w:tc>
        <w:tc>
          <w:tcPr>
            <w:tcW w:w="6458"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szCs w:val="21"/>
                <w:highlight w:val="none"/>
              </w:rPr>
            </w:pPr>
            <w:r>
              <w:rPr>
                <w:rFonts w:hint="eastAsia" w:ascii="宋体" w:hAnsi="宋体" w:cs="宋体"/>
                <w:highlight w:val="none"/>
                <w:u w:val="single"/>
              </w:rPr>
              <w:t>满足本招标文件、服务合同及技术标准和要求。</w:t>
            </w:r>
          </w:p>
        </w:tc>
      </w:tr>
      <w:tr>
        <w:tblPrEx>
          <w:tblLayout w:type="fixed"/>
          <w:tblCellMar>
            <w:top w:w="0" w:type="dxa"/>
            <w:left w:w="0" w:type="dxa"/>
            <w:bottom w:w="0" w:type="dxa"/>
            <w:right w:w="0" w:type="dxa"/>
          </w:tblCellMar>
        </w:tblPrEx>
        <w:trPr>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1.4.1</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人</w:t>
            </w:r>
            <w:r>
              <w:rPr>
                <w:rFonts w:hint="eastAsia" w:ascii="宋体" w:hAnsi="宋体" w:cs="宋体"/>
                <w:kern w:val="0"/>
                <w:szCs w:val="21"/>
                <w:highlight w:val="none"/>
              </w:rPr>
              <w:t>资</w:t>
            </w:r>
            <w:r>
              <w:rPr>
                <w:rFonts w:hint="eastAsia" w:ascii="宋体" w:hAnsi="宋体" w:cs="宋体"/>
                <w:spacing w:val="-2"/>
                <w:kern w:val="0"/>
                <w:szCs w:val="21"/>
                <w:highlight w:val="none"/>
              </w:rPr>
              <w:t>质</w:t>
            </w:r>
            <w:r>
              <w:rPr>
                <w:rFonts w:hint="eastAsia" w:ascii="宋体" w:hAnsi="宋体" w:cs="宋体"/>
                <w:kern w:val="0"/>
                <w:szCs w:val="21"/>
                <w:highlight w:val="none"/>
              </w:rPr>
              <w:t>条</w:t>
            </w:r>
            <w:r>
              <w:rPr>
                <w:rFonts w:hint="eastAsia" w:ascii="宋体" w:hAnsi="宋体" w:cs="宋体"/>
                <w:spacing w:val="-2"/>
                <w:kern w:val="0"/>
                <w:szCs w:val="21"/>
                <w:highlight w:val="none"/>
              </w:rPr>
              <w:t>件</w:t>
            </w:r>
            <w:r>
              <w:rPr>
                <w:rFonts w:hint="eastAsia" w:ascii="宋体" w:hAnsi="宋体" w:cs="宋体"/>
                <w:kern w:val="0"/>
                <w:szCs w:val="21"/>
                <w:highlight w:val="none"/>
              </w:rPr>
              <w:t>、</w:t>
            </w:r>
            <w:r>
              <w:rPr>
                <w:rFonts w:hint="eastAsia" w:ascii="宋体" w:hAnsi="宋体" w:cs="宋体"/>
                <w:spacing w:val="-2"/>
                <w:kern w:val="0"/>
                <w:szCs w:val="21"/>
                <w:highlight w:val="none"/>
              </w:rPr>
              <w:t>能</w:t>
            </w:r>
            <w:r>
              <w:rPr>
                <w:rFonts w:hint="eastAsia" w:ascii="宋体" w:hAnsi="宋体" w:cs="宋体"/>
                <w:kern w:val="0"/>
                <w:szCs w:val="21"/>
                <w:highlight w:val="none"/>
              </w:rPr>
              <w:t>力</w:t>
            </w:r>
            <w:r>
              <w:rPr>
                <w:rFonts w:hint="eastAsia" w:ascii="宋体" w:hAnsi="宋体" w:cs="宋体"/>
                <w:spacing w:val="-2"/>
                <w:kern w:val="0"/>
                <w:szCs w:val="21"/>
                <w:highlight w:val="none"/>
              </w:rPr>
              <w:t>、</w:t>
            </w:r>
            <w:r>
              <w:rPr>
                <w:rFonts w:hint="eastAsia" w:ascii="宋体" w:hAnsi="宋体" w:cs="宋体"/>
                <w:kern w:val="0"/>
                <w:szCs w:val="21"/>
                <w:highlight w:val="none"/>
              </w:rPr>
              <w:t>信誉</w:t>
            </w:r>
          </w:p>
        </w:tc>
        <w:tc>
          <w:tcPr>
            <w:tcW w:w="64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afterLines="0" w:line="400" w:lineRule="exact"/>
              <w:ind w:firstLine="415" w:firstLineChars="198"/>
              <w:rPr>
                <w:rFonts w:hint="eastAsia" w:ascii="宋体" w:hAnsi="宋体" w:cs="宋体"/>
                <w:szCs w:val="21"/>
                <w:highlight w:val="none"/>
              </w:rPr>
            </w:pPr>
            <w:bookmarkStart w:id="20" w:name="OLE_LINK1"/>
            <w:r>
              <w:rPr>
                <w:rFonts w:hint="eastAsia" w:ascii="宋体" w:hAnsi="宋体" w:cs="宋体"/>
                <w:szCs w:val="21"/>
                <w:highlight w:val="none"/>
              </w:rPr>
              <w:t>本工程施工招标实行资格后审，投标人应</w:t>
            </w:r>
            <w:bookmarkStart w:id="21" w:name="一是"/>
            <w:bookmarkEnd w:id="21"/>
            <w:r>
              <w:rPr>
                <w:rFonts w:hint="eastAsia" w:ascii="宋体" w:hAnsi="宋体" w:cs="宋体"/>
                <w:szCs w:val="21"/>
                <w:highlight w:val="none"/>
              </w:rPr>
              <w:t>具备以下资格条件：</w:t>
            </w:r>
          </w:p>
          <w:bookmarkEnd w:id="20"/>
          <w:p>
            <w:pPr>
              <w:autoSpaceDE w:val="0"/>
              <w:autoSpaceDN w:val="0"/>
              <w:adjustRightInd w:val="0"/>
              <w:snapToGrid w:val="0"/>
              <w:spacing w:afterLines="0" w:line="400" w:lineRule="exact"/>
              <w:ind w:left="416" w:leftChars="198"/>
              <w:rPr>
                <w:rFonts w:hint="eastAsia" w:ascii="宋体" w:hAnsi="宋体" w:cs="宋体"/>
                <w:szCs w:val="21"/>
                <w:highlight w:val="none"/>
              </w:rPr>
            </w:pPr>
            <w:r>
              <w:rPr>
                <w:rFonts w:hint="eastAsia" w:ascii="宋体" w:hAnsi="宋体" w:cs="宋体"/>
                <w:b/>
                <w:bCs/>
                <w:szCs w:val="21"/>
                <w:highlight w:val="none"/>
              </w:rPr>
              <w:t>1.营业执照</w:t>
            </w:r>
          </w:p>
          <w:p>
            <w:pPr>
              <w:autoSpaceDE w:val="0"/>
              <w:autoSpaceDN w:val="0"/>
              <w:adjustRightInd w:val="0"/>
              <w:snapToGrid w:val="0"/>
              <w:spacing w:afterLines="0" w:line="400" w:lineRule="exact"/>
              <w:ind w:firstLine="415" w:firstLineChars="198"/>
              <w:rPr>
                <w:rFonts w:hint="eastAsia" w:ascii="宋体" w:hAnsi="宋体" w:cs="宋体"/>
                <w:szCs w:val="21"/>
                <w:highlight w:val="none"/>
              </w:rPr>
            </w:pPr>
            <w:r>
              <w:rPr>
                <w:rFonts w:hint="eastAsia" w:ascii="宋体" w:hAnsi="宋体" w:cs="宋体"/>
                <w:szCs w:val="21"/>
                <w:highlight w:val="none"/>
              </w:rPr>
              <w:t>投标人必须是具有独立承担民事责任能力的在中华人民共和国境内注册的法人组织，具备合法有效的营业执照。</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bCs/>
                <w:szCs w:val="21"/>
                <w:highlight w:val="none"/>
              </w:rPr>
              <w:t>提供：营业执照复印件。</w:t>
            </w:r>
          </w:p>
          <w:p>
            <w:pPr>
              <w:pStyle w:val="6"/>
              <w:spacing w:afterLines="0" w:line="400" w:lineRule="exact"/>
              <w:rPr>
                <w:rFonts w:hint="eastAsia" w:ascii="宋体" w:hAnsi="宋体" w:cs="宋体"/>
                <w:b/>
                <w:bCs/>
                <w:highlight w:val="none"/>
                <w:lang w:val="en-US" w:eastAsia="zh-CN"/>
              </w:rPr>
            </w:pPr>
            <w:r>
              <w:rPr>
                <w:rFonts w:hint="eastAsia" w:ascii="宋体" w:hAnsi="宋体" w:cs="宋体"/>
                <w:b/>
                <w:bCs/>
                <w:highlight w:val="none"/>
                <w:lang w:val="en-US" w:eastAsia="zh-CN"/>
              </w:rPr>
              <w:t>2.资质要求</w:t>
            </w:r>
          </w:p>
          <w:p>
            <w:pPr>
              <w:spacing w:afterLines="0" w:line="400" w:lineRule="exact"/>
              <w:ind w:firstLine="420" w:firstLineChars="200"/>
              <w:rPr>
                <w:rFonts w:hint="eastAsia" w:eastAsia="宋体"/>
                <w:sz w:val="21"/>
                <w:szCs w:val="21"/>
                <w:highlight w:val="none"/>
                <w:lang w:val="en-US" w:eastAsia="zh-CN"/>
              </w:rPr>
            </w:pPr>
            <w:r>
              <w:rPr>
                <w:rFonts w:hint="eastAsia"/>
                <w:kern w:val="0"/>
                <w:sz w:val="21"/>
                <w:szCs w:val="21"/>
                <w:highlight w:val="none"/>
                <w:lang w:val="en-US" w:eastAsia="zh-CN"/>
              </w:rPr>
              <w:t>投标人须具备</w:t>
            </w:r>
            <w:r>
              <w:rPr>
                <w:rFonts w:hint="eastAsia" w:ascii="Times New Roman" w:hAnsi="Times New Roman" w:cs="Times New Roman"/>
                <w:kern w:val="0"/>
                <w:szCs w:val="21"/>
                <w:highlight w:val="none"/>
                <w:shd w:val="clear"/>
              </w:rPr>
              <w:t>建设行政主管部门</w:t>
            </w:r>
            <w:r>
              <w:rPr>
                <w:rFonts w:hint="eastAsia"/>
                <w:kern w:val="0"/>
                <w:sz w:val="21"/>
                <w:szCs w:val="21"/>
                <w:highlight w:val="none"/>
                <w:lang w:val="en-US" w:eastAsia="zh-CN"/>
              </w:rPr>
              <w:t>颁发的有效的</w:t>
            </w:r>
            <w:r>
              <w:rPr>
                <w:rFonts w:hint="eastAsia"/>
                <w:kern w:val="0"/>
                <w:szCs w:val="21"/>
                <w:highlight w:val="none"/>
              </w:rPr>
              <w:t>工程设计水利行业甲级资质</w:t>
            </w:r>
            <w:r>
              <w:rPr>
                <w:rFonts w:hint="eastAsia"/>
                <w:kern w:val="0"/>
                <w:szCs w:val="21"/>
                <w:highlight w:val="none"/>
                <w:lang w:eastAsia="zh-CN"/>
              </w:rPr>
              <w:t>或工程设计综合甲级资质</w:t>
            </w:r>
            <w:r>
              <w:rPr>
                <w:rFonts w:hint="eastAsia"/>
                <w:sz w:val="21"/>
                <w:szCs w:val="21"/>
                <w:highlight w:val="none"/>
                <w:lang w:val="en-US"/>
              </w:rPr>
              <w:t>。</w:t>
            </w:r>
          </w:p>
          <w:p>
            <w:pPr>
              <w:autoSpaceDE w:val="0"/>
              <w:autoSpaceDN w:val="0"/>
              <w:adjustRightInd w:val="0"/>
              <w:snapToGrid w:val="0"/>
              <w:spacing w:afterLines="0" w:line="400" w:lineRule="exact"/>
              <w:ind w:firstLine="417" w:firstLineChars="198"/>
              <w:rPr>
                <w:rFonts w:hint="default"/>
                <w:sz w:val="21"/>
                <w:szCs w:val="21"/>
                <w:highlight w:val="none"/>
                <w:lang w:val="en-US" w:eastAsia="zh-CN"/>
              </w:rPr>
            </w:pPr>
            <w:r>
              <w:rPr>
                <w:rFonts w:hint="eastAsia" w:ascii="宋体" w:hAnsi="宋体" w:cs="宋体"/>
                <w:b/>
                <w:bCs/>
                <w:szCs w:val="21"/>
                <w:highlight w:val="none"/>
              </w:rPr>
              <w:t>提供：</w:t>
            </w:r>
            <w:r>
              <w:rPr>
                <w:rFonts w:hint="eastAsia" w:ascii="宋体" w:hAnsi="宋体" w:cs="宋体"/>
                <w:b/>
                <w:bCs/>
                <w:szCs w:val="21"/>
                <w:highlight w:val="none"/>
                <w:lang w:eastAsia="zh-CN"/>
              </w:rPr>
              <w:t>资质证书</w:t>
            </w:r>
            <w:r>
              <w:rPr>
                <w:rFonts w:hint="eastAsia" w:ascii="宋体" w:hAnsi="宋体" w:cs="宋体"/>
                <w:b/>
                <w:bCs/>
                <w:szCs w:val="21"/>
                <w:highlight w:val="none"/>
              </w:rPr>
              <w:t>复印件。</w:t>
            </w:r>
          </w:p>
          <w:p>
            <w:pPr>
              <w:pStyle w:val="7"/>
              <w:adjustRightInd w:val="0"/>
              <w:snapToGrid w:val="0"/>
              <w:spacing w:afterLines="0" w:line="40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3</w:t>
            </w:r>
            <w:r>
              <w:rPr>
                <w:rFonts w:hint="eastAsia" w:ascii="宋体" w:hAnsi="宋体" w:cs="宋体"/>
                <w:b/>
                <w:szCs w:val="21"/>
                <w:highlight w:val="none"/>
              </w:rPr>
              <w:t>.人员要求</w:t>
            </w:r>
          </w:p>
          <w:p>
            <w:pPr>
              <w:pStyle w:val="7"/>
              <w:adjustRightInd w:val="0"/>
              <w:snapToGrid w:val="0"/>
              <w:spacing w:after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项目负责人和技术负责人须同时满足以下要求：</w:t>
            </w:r>
          </w:p>
          <w:p>
            <w:pPr>
              <w:pStyle w:val="7"/>
              <w:adjustRightInd w:val="0"/>
              <w:snapToGrid w:val="0"/>
              <w:spacing w:after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（1）须为投标人本单位在职员工；</w:t>
            </w:r>
          </w:p>
          <w:p>
            <w:pPr>
              <w:pStyle w:val="7"/>
              <w:adjustRightInd w:val="0"/>
              <w:snapToGrid w:val="0"/>
              <w:spacing w:after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（2）具有水文类（或水工类）专业高级及以上职称。</w:t>
            </w:r>
          </w:p>
          <w:p>
            <w:pPr>
              <w:pStyle w:val="7"/>
              <w:adjustRightInd w:val="0"/>
              <w:snapToGrid w:val="0"/>
              <w:spacing w:afterLines="0"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提供：</w:t>
            </w:r>
            <w:r>
              <w:rPr>
                <w:rFonts w:hint="eastAsia" w:ascii="宋体" w:hAnsi="宋体" w:cs="宋体"/>
                <w:b/>
                <w:szCs w:val="21"/>
                <w:highlight w:val="none"/>
                <w:lang w:val="en-US" w:eastAsia="zh-CN"/>
              </w:rPr>
              <w:t>上述人员</w:t>
            </w:r>
            <w:r>
              <w:rPr>
                <w:rFonts w:hint="eastAsia" w:ascii="宋体" w:hAnsi="宋体" w:cs="宋体"/>
                <w:b/>
                <w:szCs w:val="21"/>
                <w:highlight w:val="none"/>
              </w:rPr>
              <w:t>身份证、职称证、</w:t>
            </w:r>
            <w:r>
              <w:rPr>
                <w:rFonts w:hint="eastAsia" w:ascii="宋体" w:hAnsi="宋体"/>
                <w:b/>
                <w:kern w:val="0"/>
                <w:szCs w:val="21"/>
                <w:highlight w:val="none"/>
              </w:rPr>
              <w:t>投标人为其缴纳的养老保险证明材料</w:t>
            </w:r>
            <w:r>
              <w:rPr>
                <w:rFonts w:hint="eastAsia" w:ascii="宋体" w:hAnsi="宋体" w:cs="宋体"/>
                <w:b/>
                <w:szCs w:val="21"/>
                <w:highlight w:val="none"/>
              </w:rPr>
              <w:t>复印件。</w:t>
            </w:r>
          </w:p>
          <w:p>
            <w:pPr>
              <w:pStyle w:val="7"/>
              <w:adjustRightInd w:val="0"/>
              <w:snapToGrid w:val="0"/>
              <w:spacing w:afterLines="0"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注：水工类包括水利水电工程、水工建筑、水工结构、水工技术专业、水利工程</w:t>
            </w:r>
            <w:r>
              <w:rPr>
                <w:rFonts w:hint="eastAsia" w:ascii="宋体" w:hAnsi="宋体" w:cs="宋体"/>
                <w:b/>
                <w:szCs w:val="21"/>
                <w:highlight w:val="none"/>
                <w:lang w:eastAsia="zh-CN"/>
              </w:rPr>
              <w:t>等</w:t>
            </w:r>
            <w:r>
              <w:rPr>
                <w:rFonts w:hint="eastAsia" w:ascii="宋体" w:hAnsi="宋体" w:cs="宋体"/>
                <w:b/>
                <w:szCs w:val="21"/>
                <w:highlight w:val="none"/>
              </w:rPr>
              <w:t>；水文类包括水文与水资源、水文水资源、陆地水文、水文学及水资源</w:t>
            </w:r>
            <w:r>
              <w:rPr>
                <w:rFonts w:hint="eastAsia" w:ascii="宋体" w:hAnsi="宋体" w:cs="宋体"/>
                <w:b/>
                <w:szCs w:val="21"/>
                <w:highlight w:val="none"/>
                <w:lang w:eastAsia="zh-CN"/>
              </w:rPr>
              <w:t>等</w:t>
            </w:r>
            <w:r>
              <w:rPr>
                <w:rFonts w:hint="eastAsia" w:ascii="宋体" w:hAnsi="宋体" w:cs="宋体"/>
                <w:b/>
                <w:szCs w:val="21"/>
                <w:highlight w:val="none"/>
              </w:rPr>
              <w:t>。</w:t>
            </w:r>
          </w:p>
          <w:p>
            <w:pPr>
              <w:pStyle w:val="7"/>
              <w:adjustRightInd w:val="0"/>
              <w:snapToGrid w:val="0"/>
              <w:spacing w:afterLines="0" w:line="40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4</w:t>
            </w:r>
            <w:r>
              <w:rPr>
                <w:rFonts w:hint="eastAsia" w:ascii="宋体" w:hAnsi="宋体" w:cs="宋体"/>
                <w:b/>
                <w:szCs w:val="21"/>
                <w:highlight w:val="none"/>
              </w:rPr>
              <w:t>.投标截止日投标资格情况</w:t>
            </w:r>
          </w:p>
          <w:p>
            <w:pPr>
              <w:pStyle w:val="7"/>
              <w:adjustRightInd w:val="0"/>
              <w:snapToGrid w:val="0"/>
              <w:spacing w:afterLines="0" w:line="400" w:lineRule="exact"/>
              <w:ind w:firstLine="420" w:firstLineChars="200"/>
              <w:rPr>
                <w:rFonts w:ascii="宋体" w:hAnsi="宋体"/>
                <w:szCs w:val="21"/>
                <w:highlight w:val="none"/>
              </w:rPr>
            </w:pPr>
            <w:r>
              <w:rPr>
                <w:rFonts w:hint="eastAsia" w:ascii="宋体" w:hAnsi="宋体" w:cs="宋体"/>
                <w:szCs w:val="21"/>
                <w:highlight w:val="none"/>
              </w:rPr>
              <w:t>投标</w:t>
            </w:r>
            <w:r>
              <w:rPr>
                <w:rFonts w:hint="eastAsia" w:ascii="宋体" w:hAnsi="宋体"/>
                <w:szCs w:val="21"/>
                <w:highlight w:val="none"/>
              </w:rPr>
              <w:t>人自行承诺不得存在下列情形之一：</w:t>
            </w:r>
          </w:p>
          <w:p>
            <w:pPr>
              <w:pStyle w:val="7"/>
              <w:adjustRightInd w:val="0"/>
              <w:snapToGrid w:val="0"/>
              <w:spacing w:afterLines="0" w:line="400" w:lineRule="exact"/>
              <w:ind w:firstLine="420" w:firstLineChars="200"/>
              <w:rPr>
                <w:rFonts w:ascii="宋体" w:hAnsi="宋体"/>
                <w:szCs w:val="21"/>
                <w:highlight w:val="none"/>
              </w:rPr>
            </w:pPr>
            <w:r>
              <w:rPr>
                <w:rFonts w:hint="eastAsia" w:ascii="宋体" w:hAnsi="宋体"/>
                <w:szCs w:val="21"/>
                <w:highlight w:val="none"/>
              </w:rPr>
              <w:t>（1）被人民法院列入失信被执行人名单且在被执行期内；</w:t>
            </w:r>
          </w:p>
          <w:p>
            <w:pPr>
              <w:pStyle w:val="7"/>
              <w:adjustRightInd w:val="0"/>
              <w:snapToGrid w:val="0"/>
              <w:spacing w:afterLines="0" w:line="400" w:lineRule="exact"/>
              <w:ind w:firstLine="420" w:firstLineChars="200"/>
              <w:rPr>
                <w:rFonts w:ascii="宋体" w:hAnsi="宋体"/>
                <w:szCs w:val="21"/>
                <w:highlight w:val="none"/>
              </w:rPr>
            </w:pPr>
            <w:r>
              <w:rPr>
                <w:rFonts w:hint="eastAsia" w:ascii="宋体" w:hAnsi="宋体"/>
                <w:szCs w:val="21"/>
                <w:highlight w:val="none"/>
              </w:rPr>
              <w:t>（2）被国家、重庆市（含市或任意区县）有关行政部门处以暂停投标资格行政处罚，且在处罚期限内</w:t>
            </w:r>
            <w:r>
              <w:rPr>
                <w:rFonts w:hint="eastAsia" w:ascii="宋体" w:hAnsi="宋体"/>
                <w:szCs w:val="21"/>
                <w:highlight w:val="none"/>
                <w:lang w:eastAsia="zh-CN"/>
              </w:rPr>
              <w:t>。</w:t>
            </w:r>
          </w:p>
          <w:p>
            <w:pPr>
              <w:autoSpaceDE w:val="0"/>
              <w:autoSpaceDN w:val="0"/>
              <w:adjustRightInd w:val="0"/>
              <w:snapToGrid w:val="0"/>
              <w:spacing w:afterLines="0" w:line="400" w:lineRule="exact"/>
              <w:ind w:firstLine="417" w:firstLineChars="198"/>
              <w:rPr>
                <w:rFonts w:hint="eastAsia" w:ascii="宋体" w:hAnsi="宋体" w:cs="宋体"/>
                <w:b/>
                <w:szCs w:val="21"/>
                <w:highlight w:val="none"/>
              </w:rPr>
            </w:pPr>
            <w:r>
              <w:rPr>
                <w:rFonts w:hint="eastAsia" w:ascii="宋体" w:hAnsi="宋体" w:cs="宋体"/>
                <w:b/>
                <w:szCs w:val="21"/>
                <w:highlight w:val="none"/>
              </w:rPr>
              <w:t>提供：由投标人自行承诺（格式见第六章），</w:t>
            </w:r>
            <w:r>
              <w:rPr>
                <w:rFonts w:hint="eastAsia" w:cs="宋体"/>
                <w:b/>
                <w:szCs w:val="21"/>
                <w:highlight w:val="none"/>
              </w:rPr>
              <w:t>承诺函</w:t>
            </w:r>
            <w:r>
              <w:rPr>
                <w:rFonts w:hint="eastAsia" w:ascii="宋体" w:hAnsi="宋体" w:cs="宋体"/>
                <w:b/>
                <w:szCs w:val="21"/>
                <w:highlight w:val="none"/>
              </w:rPr>
              <w:t>加盖投标人</w:t>
            </w:r>
            <w:r>
              <w:rPr>
                <w:rFonts w:hint="eastAsia" w:ascii="宋体" w:hAnsi="宋体" w:cs="宋体"/>
                <w:b/>
                <w:bCs/>
                <w:szCs w:val="21"/>
                <w:highlight w:val="none"/>
              </w:rPr>
              <w:t>公章鲜章</w:t>
            </w:r>
            <w:r>
              <w:rPr>
                <w:rFonts w:hint="eastAsia" w:ascii="宋体" w:hAnsi="宋体" w:cs="宋体"/>
                <w:b/>
                <w:szCs w:val="21"/>
                <w:highlight w:val="none"/>
              </w:rPr>
              <w:t>。</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.其他要求</w:t>
            </w:r>
          </w:p>
          <w:p>
            <w:pPr>
              <w:pStyle w:val="7"/>
              <w:adjustRightInd w:val="0"/>
              <w:snapToGrid w:val="0"/>
              <w:spacing w:afterLines="0" w:line="400" w:lineRule="exact"/>
              <w:ind w:firstLine="420" w:firstLineChars="200"/>
              <w:rPr>
                <w:rFonts w:hint="eastAsia" w:ascii="宋体" w:hAnsi="宋体"/>
                <w:szCs w:val="21"/>
                <w:highlight w:val="none"/>
              </w:rPr>
            </w:pPr>
            <w:r>
              <w:rPr>
                <w:rFonts w:hint="eastAsia" w:ascii="宋体" w:hAnsi="宋体"/>
                <w:szCs w:val="21"/>
                <w:highlight w:val="none"/>
              </w:rPr>
              <w:t>（1）本项目拟派人员全部到岗尽责，且未经招标人允许不得擅自更换，如果擅自</w:t>
            </w:r>
            <w:r>
              <w:rPr>
                <w:rFonts w:hint="eastAsia" w:ascii="宋体" w:hAnsi="宋体"/>
                <w:szCs w:val="21"/>
                <w:highlight w:val="none"/>
                <w:lang w:eastAsia="zh-CN"/>
              </w:rPr>
              <w:t>更换</w:t>
            </w:r>
            <w:r>
              <w:rPr>
                <w:rFonts w:hint="eastAsia" w:ascii="宋体" w:hAnsi="宋体"/>
                <w:szCs w:val="21"/>
                <w:highlight w:val="none"/>
              </w:rPr>
              <w:t>，招标人有权取消其中标人资格</w:t>
            </w:r>
            <w:r>
              <w:rPr>
                <w:rFonts w:hint="eastAsia" w:ascii="宋体" w:hAnsi="宋体"/>
                <w:szCs w:val="21"/>
                <w:highlight w:val="none"/>
                <w:lang w:eastAsia="zh-CN"/>
              </w:rPr>
              <w:t>。</w:t>
            </w:r>
          </w:p>
          <w:p>
            <w:pPr>
              <w:pStyle w:val="7"/>
              <w:adjustRightInd w:val="0"/>
              <w:snapToGrid w:val="0"/>
              <w:spacing w:afterLines="0" w:line="400" w:lineRule="exact"/>
              <w:ind w:firstLine="420" w:firstLineChars="200"/>
              <w:rPr>
                <w:rFonts w:hint="eastAsia" w:ascii="宋体" w:hAnsi="宋体"/>
                <w:szCs w:val="21"/>
                <w:highlight w:val="none"/>
              </w:rPr>
            </w:pPr>
            <w:r>
              <w:rPr>
                <w:rFonts w:hint="eastAsia" w:ascii="宋体" w:hAnsi="宋体"/>
                <w:szCs w:val="21"/>
                <w:highlight w:val="none"/>
              </w:rPr>
              <w:t>（2）在合同履行期间，如未经招标人允许，擅自更换项目主要人员的，招标人有权终止合同并追究投标单位责任。</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szCs w:val="21"/>
                <w:highlight w:val="none"/>
              </w:rPr>
              <w:t>提供：由投标人自行承诺（格式见第六章），</w:t>
            </w:r>
            <w:r>
              <w:rPr>
                <w:rFonts w:hint="eastAsia" w:cs="宋体"/>
                <w:b/>
                <w:szCs w:val="21"/>
                <w:highlight w:val="none"/>
              </w:rPr>
              <w:t>承诺函</w:t>
            </w:r>
            <w:r>
              <w:rPr>
                <w:rFonts w:hint="eastAsia" w:ascii="宋体" w:hAnsi="宋体" w:cs="宋体"/>
                <w:b/>
                <w:szCs w:val="21"/>
                <w:highlight w:val="none"/>
              </w:rPr>
              <w:t>加盖投标人</w:t>
            </w:r>
            <w:r>
              <w:rPr>
                <w:rFonts w:hint="eastAsia" w:ascii="宋体" w:hAnsi="宋体" w:cs="宋体"/>
                <w:b/>
                <w:bCs/>
                <w:szCs w:val="21"/>
                <w:highlight w:val="none"/>
              </w:rPr>
              <w:t>公章鲜章</w:t>
            </w:r>
            <w:r>
              <w:rPr>
                <w:rFonts w:hint="eastAsia" w:ascii="宋体" w:hAnsi="宋体" w:cs="宋体"/>
                <w:b/>
                <w:szCs w:val="21"/>
                <w:highlight w:val="none"/>
              </w:rPr>
              <w:t>。</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bCs/>
                <w:szCs w:val="21"/>
                <w:highlight w:val="none"/>
              </w:rPr>
              <w:t>特别提示：</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bCs/>
                <w:szCs w:val="21"/>
                <w:highlight w:val="none"/>
              </w:rPr>
              <w:t>1.上述要求须提交的相关证明材料复印件均应加盖投标单位公章鲜章并装入投标文件中。</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bCs/>
                <w:szCs w:val="21"/>
                <w:highlight w:val="none"/>
              </w:rPr>
              <w:t>2.上述要求提交的相关证明材料等资料，以及招标文件第三章评标办法中要求提供的相关证明材料等资料，在评标阶段无需提供原件核验。投标人应对上述资料真实性负责，招标人在合同签订前均有权对投标人提供的资料进行核实，若发现弄虚作假，按相关法律法规报招标投标监督部门处理，取消其中标资格，其投标保证金不予退还，投标人承担因此造成的相关责任并赔偿相应损失。</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bCs/>
                <w:szCs w:val="21"/>
                <w:highlight w:val="none"/>
              </w:rPr>
              <w:t>3.本招标文件中所要求的人员养老保险证明要求如下：</w:t>
            </w:r>
          </w:p>
          <w:p>
            <w:pPr>
              <w:autoSpaceDE w:val="0"/>
              <w:autoSpaceDN w:val="0"/>
              <w:adjustRightInd w:val="0"/>
              <w:snapToGrid w:val="0"/>
              <w:spacing w:afterLines="0" w:line="400" w:lineRule="exact"/>
              <w:ind w:firstLine="417" w:firstLineChars="198"/>
              <w:rPr>
                <w:rFonts w:hint="eastAsia" w:ascii="宋体" w:hAnsi="宋体" w:cs="宋体"/>
                <w:b/>
                <w:bCs/>
                <w:szCs w:val="21"/>
                <w:highlight w:val="none"/>
              </w:rPr>
            </w:pPr>
            <w:r>
              <w:rPr>
                <w:rFonts w:hint="eastAsia" w:ascii="宋体" w:hAnsi="宋体" w:cs="宋体"/>
                <w:b/>
                <w:bCs/>
                <w:szCs w:val="21"/>
                <w:highlight w:val="none"/>
              </w:rPr>
              <w:t>（1）社会单位提供养老保险证明，事业单位提供养老保险证明或行政主管部门在编证明。</w:t>
            </w:r>
          </w:p>
          <w:p>
            <w:pPr>
              <w:autoSpaceDE w:val="0"/>
              <w:autoSpaceDN w:val="0"/>
              <w:adjustRightInd w:val="0"/>
              <w:snapToGrid w:val="0"/>
              <w:spacing w:afterLines="0" w:line="400" w:lineRule="exact"/>
              <w:ind w:right="147" w:rightChars="70" w:firstLine="417" w:firstLineChars="198"/>
              <w:rPr>
                <w:rFonts w:hint="eastAsia" w:ascii="宋体" w:hAnsi="宋体" w:cs="宋体"/>
                <w:b/>
                <w:bCs/>
                <w:szCs w:val="21"/>
                <w:highlight w:val="none"/>
              </w:rPr>
            </w:pPr>
            <w:r>
              <w:rPr>
                <w:rFonts w:hint="eastAsia" w:ascii="宋体" w:hAnsi="宋体" w:cs="宋体"/>
                <w:b/>
                <w:bCs/>
                <w:szCs w:val="21"/>
                <w:highlight w:val="none"/>
              </w:rPr>
              <w:t>（2）所有拟派人员提供的养老保险证明期限为202</w:t>
            </w:r>
            <w:r>
              <w:rPr>
                <w:rFonts w:hint="eastAsia" w:ascii="宋体" w:hAnsi="宋体" w:cs="宋体"/>
                <w:b/>
                <w:bCs/>
                <w:szCs w:val="21"/>
                <w:highlight w:val="none"/>
                <w:lang w:val="en-US" w:eastAsia="zh-CN"/>
              </w:rPr>
              <w:t>2</w:t>
            </w:r>
            <w:r>
              <w:rPr>
                <w:rFonts w:hint="eastAsia" w:ascii="宋体" w:hAnsi="宋体" w:cs="宋体"/>
                <w:b/>
                <w:bCs/>
                <w:szCs w:val="21"/>
                <w:highlight w:val="none"/>
              </w:rPr>
              <w:t>年1月至2022年</w:t>
            </w:r>
            <w:r>
              <w:rPr>
                <w:rFonts w:hint="eastAsia" w:ascii="宋体" w:hAnsi="宋体" w:cs="宋体"/>
                <w:b/>
                <w:bCs/>
                <w:szCs w:val="21"/>
                <w:highlight w:val="none"/>
                <w:lang w:val="en-US" w:eastAsia="zh-CN"/>
              </w:rPr>
              <w:t>6</w:t>
            </w:r>
            <w:r>
              <w:rPr>
                <w:rFonts w:hint="eastAsia" w:ascii="宋体" w:hAnsi="宋体" w:cs="宋体"/>
                <w:b/>
                <w:bCs/>
                <w:szCs w:val="21"/>
                <w:highlight w:val="none"/>
              </w:rPr>
              <w:t>月的连续养老保险。</w:t>
            </w:r>
          </w:p>
          <w:p>
            <w:pPr>
              <w:autoSpaceDE w:val="0"/>
              <w:autoSpaceDN w:val="0"/>
              <w:adjustRightInd w:val="0"/>
              <w:snapToGrid w:val="0"/>
              <w:spacing w:afterLines="0" w:line="400" w:lineRule="exact"/>
              <w:ind w:firstLine="417" w:firstLineChars="198"/>
              <w:rPr>
                <w:rFonts w:hint="eastAsia" w:ascii="宋体" w:hAnsi="宋体" w:cs="宋体"/>
                <w:szCs w:val="21"/>
                <w:highlight w:val="none"/>
              </w:rPr>
            </w:pPr>
            <w:r>
              <w:rPr>
                <w:rFonts w:hint="eastAsia" w:ascii="宋体" w:hAnsi="宋体" w:cs="宋体"/>
                <w:b/>
                <w:bCs/>
                <w:szCs w:val="21"/>
                <w:highlight w:val="none"/>
              </w:rPr>
              <w:t>（3）如因疫情影响，按当地政策可减免企业在此期间缴纳人员社保的，请附社保缴纳管理部门出具的减免情况说明复印件（或政务或权威网站公开发布的减免公告的网络截图复印件）加盖投标人单位公章鲜章。</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1.4.2</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spacing w:val="-2"/>
                <w:kern w:val="0"/>
                <w:szCs w:val="21"/>
                <w:highlight w:val="none"/>
              </w:rPr>
            </w:pPr>
            <w:r>
              <w:rPr>
                <w:rFonts w:hint="eastAsia" w:ascii="宋体" w:hAnsi="宋体" w:cs="宋体"/>
                <w:kern w:val="0"/>
                <w:szCs w:val="21"/>
                <w:highlight w:val="none"/>
              </w:rPr>
              <w:t>是否</w:t>
            </w:r>
            <w:r>
              <w:rPr>
                <w:rFonts w:hint="eastAsia" w:ascii="宋体" w:hAnsi="宋体" w:cs="宋体"/>
                <w:spacing w:val="-2"/>
                <w:kern w:val="0"/>
                <w:szCs w:val="21"/>
                <w:highlight w:val="none"/>
              </w:rPr>
              <w:t>接</w:t>
            </w:r>
            <w:r>
              <w:rPr>
                <w:rFonts w:hint="eastAsia" w:ascii="宋体" w:hAnsi="宋体" w:cs="宋体"/>
                <w:kern w:val="0"/>
                <w:szCs w:val="21"/>
                <w:highlight w:val="none"/>
              </w:rPr>
              <w:t>受</w:t>
            </w:r>
            <w:r>
              <w:rPr>
                <w:rFonts w:hint="eastAsia" w:ascii="宋体" w:hAnsi="宋体" w:cs="宋体"/>
                <w:spacing w:val="-2"/>
                <w:kern w:val="0"/>
                <w:szCs w:val="21"/>
                <w:highlight w:val="none"/>
              </w:rPr>
              <w:t>联</w:t>
            </w:r>
            <w:r>
              <w:rPr>
                <w:rFonts w:hint="eastAsia" w:ascii="宋体" w:hAnsi="宋体" w:cs="宋体"/>
                <w:kern w:val="0"/>
                <w:szCs w:val="21"/>
                <w:highlight w:val="none"/>
              </w:rPr>
              <w:t>合</w:t>
            </w:r>
            <w:r>
              <w:rPr>
                <w:rFonts w:hint="eastAsia" w:ascii="宋体" w:hAnsi="宋体" w:cs="宋体"/>
                <w:spacing w:val="-2"/>
                <w:kern w:val="0"/>
                <w:szCs w:val="21"/>
                <w:highlight w:val="none"/>
              </w:rPr>
              <w:t>体</w:t>
            </w:r>
          </w:p>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投标</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不接受</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1.4.3</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w:t>
            </w:r>
            <w:r>
              <w:rPr>
                <w:rFonts w:hint="eastAsia" w:ascii="宋体" w:hAnsi="宋体" w:cs="宋体"/>
                <w:spacing w:val="-2"/>
                <w:kern w:val="0"/>
                <w:szCs w:val="21"/>
                <w:highlight w:val="none"/>
              </w:rPr>
              <w:t>不</w:t>
            </w:r>
            <w:r>
              <w:rPr>
                <w:rFonts w:hint="eastAsia" w:ascii="宋体" w:hAnsi="宋体" w:cs="宋体"/>
                <w:kern w:val="0"/>
                <w:szCs w:val="21"/>
                <w:highlight w:val="none"/>
              </w:rPr>
              <w:t>得</w:t>
            </w:r>
            <w:r>
              <w:rPr>
                <w:rFonts w:hint="eastAsia" w:ascii="宋体" w:hAnsi="宋体" w:cs="宋体"/>
                <w:spacing w:val="-2"/>
                <w:kern w:val="0"/>
                <w:szCs w:val="21"/>
                <w:highlight w:val="none"/>
              </w:rPr>
              <w:t>存</w:t>
            </w:r>
            <w:r>
              <w:rPr>
                <w:rFonts w:hint="eastAsia" w:ascii="宋体" w:hAnsi="宋体" w:cs="宋体"/>
                <w:kern w:val="0"/>
                <w:szCs w:val="21"/>
                <w:highlight w:val="none"/>
              </w:rPr>
              <w:t>在</w:t>
            </w:r>
          </w:p>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spacing w:val="-2"/>
                <w:kern w:val="0"/>
                <w:szCs w:val="21"/>
                <w:highlight w:val="none"/>
              </w:rPr>
              <w:t>下列</w:t>
            </w:r>
            <w:r>
              <w:rPr>
                <w:rFonts w:hint="eastAsia" w:ascii="宋体" w:hAnsi="宋体" w:cs="宋体"/>
                <w:kern w:val="0"/>
                <w:szCs w:val="21"/>
                <w:highlight w:val="none"/>
              </w:rPr>
              <w:t>情形</w:t>
            </w:r>
            <w:r>
              <w:rPr>
                <w:rFonts w:hint="eastAsia" w:ascii="宋体" w:hAnsi="宋体" w:cs="宋体"/>
                <w:spacing w:val="-2"/>
                <w:kern w:val="0"/>
                <w:szCs w:val="21"/>
                <w:highlight w:val="none"/>
              </w:rPr>
              <w:t>之</w:t>
            </w:r>
            <w:r>
              <w:rPr>
                <w:rFonts w:hint="eastAsia" w:ascii="宋体" w:hAnsi="宋体" w:cs="宋体"/>
                <w:kern w:val="0"/>
                <w:szCs w:val="21"/>
                <w:highlight w:val="none"/>
              </w:rPr>
              <w:t>一</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（1）与招标人存在利害关系可能影响招标公正性的法人、其他组织或者个人，不得参加投标；</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（2）与本招标项目的其他投标人为同一个单位负责人；</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（3）与本招标项目的其他投标人存在控股、管理关系；</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（4）为本招标项目的代建人；</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（5）为本招标项目的招标代理机构；</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（6）与本招标项目的代建人或招标代理机构同为一个法定代表人；</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（7）与本招标项目的代建人或招标代理机构存在控股或参股关系；</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（8）被依法暂停或者取消投标资格；</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（9）被责令停产停业、暂扣或者吊销许可证、暂扣或者吊销执照；</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（10）进入清算程序，或被宣告破产，或其他丧失履约能力的情形；</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（11）被工商行政管理机关在全国企业信用信息公示系统中列入严重违法失信企业名单；</w:t>
            </w:r>
          </w:p>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（12）</w:t>
            </w:r>
            <w:r>
              <w:rPr>
                <w:rFonts w:hint="eastAsia" w:ascii="宋体" w:hAnsi="宋体" w:cs="宋体"/>
                <w:szCs w:val="21"/>
                <w:highlight w:val="none"/>
              </w:rPr>
              <w:t>法定代表人为同一个人的两个及两个以上法人，母公司、全资子公司及其控股公司，以及其他形式有资产关联关系的投标人，都不得在同一招标项目中同时投标。</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1.9.1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踏勘</w:t>
            </w:r>
            <w:r>
              <w:rPr>
                <w:rFonts w:hint="eastAsia" w:ascii="宋体" w:hAnsi="宋体" w:cs="宋体"/>
                <w:spacing w:val="-2"/>
                <w:kern w:val="0"/>
                <w:szCs w:val="21"/>
                <w:highlight w:val="none"/>
              </w:rPr>
              <w:t>现</w:t>
            </w:r>
            <w:r>
              <w:rPr>
                <w:rFonts w:hint="eastAsia" w:ascii="宋体" w:hAnsi="宋体" w:cs="宋体"/>
                <w:kern w:val="0"/>
                <w:szCs w:val="21"/>
                <w:highlight w:val="none"/>
              </w:rPr>
              <w:t>场</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不组织</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1.10.1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预</w:t>
            </w:r>
            <w:r>
              <w:rPr>
                <w:rFonts w:hint="eastAsia" w:ascii="宋体" w:hAnsi="宋体" w:cs="宋体"/>
                <w:kern w:val="0"/>
                <w:szCs w:val="21"/>
                <w:highlight w:val="none"/>
              </w:rPr>
              <w:t>备会</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不召开</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spacing w:val="-7"/>
                <w:kern w:val="0"/>
                <w:szCs w:val="21"/>
                <w:highlight w:val="none"/>
              </w:rPr>
              <w:t>1</w:t>
            </w:r>
            <w:r>
              <w:rPr>
                <w:rFonts w:hint="eastAsia" w:ascii="宋体" w:hAnsi="宋体" w:cs="宋体"/>
                <w:kern w:val="0"/>
                <w:szCs w:val="21"/>
                <w:highlight w:val="none"/>
              </w:rPr>
              <w:t>1.1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分包</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不允许</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1.12.1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实质</w:t>
            </w:r>
            <w:r>
              <w:rPr>
                <w:rFonts w:hint="eastAsia" w:ascii="宋体" w:hAnsi="宋体" w:cs="宋体"/>
                <w:spacing w:val="-2"/>
                <w:kern w:val="0"/>
                <w:szCs w:val="21"/>
                <w:highlight w:val="none"/>
              </w:rPr>
              <w:t>性</w:t>
            </w:r>
            <w:r>
              <w:rPr>
                <w:rFonts w:hint="eastAsia" w:ascii="宋体" w:hAnsi="宋体" w:cs="宋体"/>
                <w:kern w:val="0"/>
                <w:szCs w:val="21"/>
                <w:highlight w:val="none"/>
              </w:rPr>
              <w:t>要</w:t>
            </w:r>
            <w:r>
              <w:rPr>
                <w:rFonts w:hint="eastAsia" w:ascii="宋体" w:hAnsi="宋体" w:cs="宋体"/>
                <w:spacing w:val="-2"/>
                <w:kern w:val="0"/>
                <w:szCs w:val="21"/>
                <w:highlight w:val="none"/>
              </w:rPr>
              <w:t>求</w:t>
            </w:r>
            <w:r>
              <w:rPr>
                <w:rFonts w:hint="eastAsia" w:ascii="宋体" w:hAnsi="宋体" w:cs="宋体"/>
                <w:kern w:val="0"/>
                <w:szCs w:val="21"/>
                <w:highlight w:val="none"/>
              </w:rPr>
              <w:t>和</w:t>
            </w:r>
            <w:r>
              <w:rPr>
                <w:rFonts w:hint="eastAsia" w:ascii="宋体" w:hAnsi="宋体" w:cs="宋体"/>
                <w:spacing w:val="-2"/>
                <w:kern w:val="0"/>
                <w:szCs w:val="21"/>
                <w:highlight w:val="none"/>
              </w:rPr>
              <w:t>条</w:t>
            </w:r>
            <w:r>
              <w:rPr>
                <w:rFonts w:hint="eastAsia" w:ascii="宋体" w:hAnsi="宋体" w:cs="宋体"/>
                <w:kern w:val="0"/>
                <w:szCs w:val="21"/>
                <w:highlight w:val="none"/>
              </w:rPr>
              <w:t>件</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1.12.3</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偏差</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2.1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构成</w:t>
            </w:r>
            <w:r>
              <w:rPr>
                <w:rFonts w:hint="eastAsia" w:ascii="宋体" w:hAnsi="宋体" w:cs="宋体"/>
                <w:spacing w:val="-2"/>
                <w:kern w:val="0"/>
                <w:szCs w:val="21"/>
                <w:highlight w:val="none"/>
              </w:rPr>
              <w:t>招</w:t>
            </w:r>
            <w:r>
              <w:rPr>
                <w:rFonts w:hint="eastAsia" w:ascii="宋体" w:hAnsi="宋体" w:cs="宋体"/>
                <w:kern w:val="0"/>
                <w:szCs w:val="21"/>
                <w:highlight w:val="none"/>
              </w:rPr>
              <w:t>标</w:t>
            </w:r>
            <w:r>
              <w:rPr>
                <w:rFonts w:hint="eastAsia" w:ascii="宋体" w:hAnsi="宋体" w:cs="宋体"/>
                <w:spacing w:val="-2"/>
                <w:kern w:val="0"/>
                <w:szCs w:val="21"/>
                <w:highlight w:val="none"/>
              </w:rPr>
              <w:t>文</w:t>
            </w:r>
            <w:r>
              <w:rPr>
                <w:rFonts w:hint="eastAsia" w:ascii="宋体" w:hAnsi="宋体" w:cs="宋体"/>
                <w:kern w:val="0"/>
                <w:szCs w:val="21"/>
                <w:highlight w:val="none"/>
              </w:rPr>
              <w:t>件</w:t>
            </w:r>
            <w:r>
              <w:rPr>
                <w:rFonts w:hint="eastAsia" w:ascii="宋体" w:hAnsi="宋体" w:cs="宋体"/>
                <w:spacing w:val="-2"/>
                <w:kern w:val="0"/>
                <w:szCs w:val="21"/>
                <w:highlight w:val="none"/>
              </w:rPr>
              <w:t>的</w:t>
            </w:r>
            <w:r>
              <w:rPr>
                <w:rFonts w:hint="eastAsia" w:ascii="宋体" w:hAnsi="宋体" w:cs="宋体"/>
                <w:kern w:val="0"/>
                <w:szCs w:val="21"/>
                <w:highlight w:val="none"/>
              </w:rPr>
              <w:t>其</w:t>
            </w:r>
            <w:r>
              <w:rPr>
                <w:rFonts w:hint="eastAsia" w:ascii="宋体" w:hAnsi="宋体" w:cs="宋体"/>
                <w:spacing w:val="-2"/>
                <w:kern w:val="0"/>
                <w:szCs w:val="21"/>
                <w:highlight w:val="none"/>
              </w:rPr>
              <w:t>他</w:t>
            </w:r>
            <w:r>
              <w:rPr>
                <w:rFonts w:hint="eastAsia" w:ascii="宋体" w:hAnsi="宋体" w:cs="宋体"/>
                <w:kern w:val="0"/>
                <w:szCs w:val="21"/>
                <w:highlight w:val="none"/>
              </w:rPr>
              <w:t>资料</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hAnsi="宋体"/>
                <w:bCs/>
                <w:szCs w:val="21"/>
                <w:highlight w:val="none"/>
              </w:rPr>
              <w:t>招标人发出的澄清及修改</w:t>
            </w:r>
          </w:p>
        </w:tc>
      </w:tr>
      <w:tr>
        <w:tblPrEx>
          <w:tblLayout w:type="fixed"/>
          <w:tblCellMar>
            <w:top w:w="0" w:type="dxa"/>
            <w:left w:w="0" w:type="dxa"/>
            <w:bottom w:w="0" w:type="dxa"/>
            <w:right w:w="0" w:type="dxa"/>
          </w:tblCellMar>
        </w:tblPrEx>
        <w:trPr>
          <w:trHeight w:val="1595"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ascii="宋体" w:hAnsi="宋体"/>
                <w:kern w:val="0"/>
                <w:szCs w:val="21"/>
                <w:highlight w:val="none"/>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w:t>
            </w:r>
          </w:p>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ascii="宋体" w:hAnsi="宋体"/>
                <w:kern w:val="0"/>
                <w:szCs w:val="21"/>
                <w:highlight w:val="none"/>
              </w:rPr>
              <w:t>时间</w:t>
            </w:r>
          </w:p>
        </w:tc>
        <w:tc>
          <w:tcPr>
            <w:tcW w:w="6458"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ind w:firstLine="420" w:firstLineChars="200"/>
              <w:jc w:val="both"/>
              <w:rPr>
                <w:rFonts w:hint="eastAsia" w:hAnsi="宋体" w:cs="宋体"/>
                <w:color w:val="auto"/>
                <w:sz w:val="21"/>
                <w:szCs w:val="21"/>
                <w:highlight w:val="none"/>
              </w:rPr>
            </w:pPr>
            <w:r>
              <w:rPr>
                <w:rFonts w:hint="eastAsia" w:hAnsi="宋体" w:eastAsia="宋体" w:cs="宋体"/>
                <w:sz w:val="21"/>
                <w:szCs w:val="21"/>
                <w:highlight w:val="none"/>
              </w:rPr>
              <w:t>投标人应仔细阅读招标文件及附件的所有内容，如有文字表述不清，图纸尺寸标注不明以及存在错、漏、缺、概念模糊和有可能出现歧义或理解上的偏差的内容等应在招标公告规定的时间前在本项目招标公告网页下方“我要提问”栏提交。</w:t>
            </w:r>
          </w:p>
        </w:tc>
      </w:tr>
      <w:tr>
        <w:tblPrEx>
          <w:tblLayout w:type="fixed"/>
          <w:tblCellMar>
            <w:top w:w="0" w:type="dxa"/>
            <w:left w:w="0" w:type="dxa"/>
            <w:bottom w:w="0" w:type="dxa"/>
            <w:right w:w="0" w:type="dxa"/>
          </w:tblCellMar>
        </w:tblPrEx>
        <w:trPr>
          <w:trHeight w:val="868" w:hRule="atLeast"/>
          <w:jc w:val="center"/>
        </w:trPr>
        <w:tc>
          <w:tcPr>
            <w:tcW w:w="1164" w:type="dxa"/>
            <w:vMerge w:val="restart"/>
            <w:tcBorders>
              <w:top w:val="single" w:color="000000" w:sz="4" w:space="0"/>
              <w:left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2.2.2</w:t>
            </w:r>
          </w:p>
        </w:tc>
        <w:tc>
          <w:tcPr>
            <w:tcW w:w="1701" w:type="dxa"/>
            <w:tcBorders>
              <w:top w:val="single" w:color="000000" w:sz="4" w:space="0"/>
              <w:left w:val="single" w:color="000000" w:sz="4" w:space="0"/>
              <w:bottom w:val="single" w:color="auto"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招标人对招标文件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58" w:type="dxa"/>
            <w:tcBorders>
              <w:top w:val="single" w:color="000000" w:sz="4" w:space="0"/>
              <w:left w:val="single" w:color="000000" w:sz="4" w:space="0"/>
              <w:bottom w:val="single" w:color="auto" w:sz="4" w:space="0"/>
              <w:right w:val="single" w:color="000000" w:sz="4" w:space="0"/>
            </w:tcBorders>
            <w:vAlign w:val="center"/>
          </w:tcPr>
          <w:p>
            <w:pPr>
              <w:snapToGrid w:val="0"/>
              <w:spacing w:afterLines="0" w:line="400" w:lineRule="exact"/>
              <w:ind w:firstLine="420" w:firstLineChars="200"/>
              <w:rPr>
                <w:rFonts w:hint="eastAsia" w:ascii="宋体" w:hAnsi="宋体" w:cs="宋体"/>
                <w:kern w:val="0"/>
                <w:szCs w:val="21"/>
                <w:highlight w:val="none"/>
              </w:rPr>
            </w:pPr>
            <w:r>
              <w:rPr>
                <w:rFonts w:hint="eastAsia" w:ascii="宋体" w:hAnsi="宋体"/>
                <w:szCs w:val="21"/>
                <w:highlight w:val="none"/>
              </w:rPr>
              <w:t>招标人应在招标公告规定的时间前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u w:val="single"/>
              </w:rPr>
              <w:t>重庆市公共资源交易网（www.cqggzy.com）</w:t>
            </w:r>
            <w:r>
              <w:rPr>
                <w:rFonts w:ascii="宋体" w:hAnsi="宋体"/>
                <w:kern w:val="0"/>
                <w:szCs w:val="21"/>
                <w:highlight w:val="none"/>
              </w:rPr>
              <w:t>发布</w:t>
            </w:r>
            <w:r>
              <w:rPr>
                <w:rFonts w:hint="eastAsia" w:ascii="宋体" w:hAnsi="宋体"/>
                <w:kern w:val="0"/>
                <w:szCs w:val="21"/>
                <w:highlight w:val="none"/>
              </w:rPr>
              <w:t>澄清</w:t>
            </w:r>
            <w:r>
              <w:rPr>
                <w:rFonts w:ascii="宋体" w:hAnsi="宋体"/>
                <w:kern w:val="0"/>
                <w:szCs w:val="21"/>
                <w:highlight w:val="none"/>
              </w:rPr>
              <w:t>。</w:t>
            </w:r>
          </w:p>
        </w:tc>
      </w:tr>
      <w:tr>
        <w:tblPrEx>
          <w:tblLayout w:type="fixed"/>
          <w:tblCellMar>
            <w:top w:w="0" w:type="dxa"/>
            <w:left w:w="0" w:type="dxa"/>
            <w:bottom w:w="0" w:type="dxa"/>
            <w:right w:w="0" w:type="dxa"/>
          </w:tblCellMar>
        </w:tblPrEx>
        <w:trPr>
          <w:trHeight w:val="342" w:hRule="atLeast"/>
          <w:jc w:val="center"/>
        </w:trPr>
        <w:tc>
          <w:tcPr>
            <w:tcW w:w="1164" w:type="dxa"/>
            <w:vMerge w:val="continue"/>
            <w:tcBorders>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p>
        </w:tc>
        <w:tc>
          <w:tcPr>
            <w:tcW w:w="1701" w:type="dxa"/>
            <w:tcBorders>
              <w:top w:val="single" w:color="auto"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kern w:val="0"/>
                <w:szCs w:val="21"/>
                <w:highlight w:val="none"/>
              </w:rPr>
              <w:t>投标截止时间</w:t>
            </w:r>
          </w:p>
        </w:tc>
        <w:tc>
          <w:tcPr>
            <w:tcW w:w="6458" w:type="dxa"/>
            <w:tcBorders>
              <w:top w:val="single" w:color="auto" w:sz="4" w:space="0"/>
              <w:left w:val="single" w:color="000000" w:sz="4" w:space="0"/>
              <w:bottom w:val="single" w:color="000000" w:sz="4" w:space="0"/>
              <w:right w:val="single" w:color="000000" w:sz="4" w:space="0"/>
            </w:tcBorders>
            <w:vAlign w:val="center"/>
          </w:tcPr>
          <w:p>
            <w:pPr>
              <w:snapToGrid w:val="0"/>
              <w:spacing w:afterLines="0" w:line="400" w:lineRule="exact"/>
              <w:ind w:firstLine="420" w:firstLineChars="200"/>
              <w:rPr>
                <w:rFonts w:hint="eastAsia" w:ascii="宋体" w:hAnsi="宋体" w:cs="宋体"/>
                <w:bCs/>
                <w:szCs w:val="21"/>
                <w:highlight w:val="none"/>
              </w:rPr>
            </w:pPr>
            <w:r>
              <w:rPr>
                <w:rFonts w:hint="eastAsia" w:ascii="宋体" w:hAnsi="宋体"/>
                <w:szCs w:val="21"/>
                <w:highlight w:val="none"/>
              </w:rPr>
              <w:t>详见招标公告规定的投标截止时间。</w:t>
            </w:r>
          </w:p>
        </w:tc>
      </w:tr>
      <w:tr>
        <w:tblPrEx>
          <w:tblLayout w:type="fixed"/>
          <w:tblCellMar>
            <w:top w:w="0" w:type="dxa"/>
            <w:left w:w="0" w:type="dxa"/>
            <w:bottom w:w="0" w:type="dxa"/>
            <w:right w:w="0" w:type="dxa"/>
          </w:tblCellMar>
        </w:tblPrEx>
        <w:trPr>
          <w:trHeight w:val="885"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2.2.3</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0" w:afterLines="0" w:line="400" w:lineRule="exact"/>
              <w:jc w:val="center"/>
              <w:rPr>
                <w:rFonts w:hint="eastAsia" w:ascii="宋体" w:hAnsi="宋体" w:cs="宋体"/>
                <w:kern w:val="0"/>
                <w:szCs w:val="21"/>
                <w:highlight w:val="none"/>
              </w:rPr>
            </w:pPr>
            <w:r>
              <w:rPr>
                <w:rFonts w:ascii="宋体" w:hAnsi="宋体"/>
                <w:kern w:val="0"/>
                <w:szCs w:val="21"/>
                <w:highlight w:val="none"/>
              </w:rPr>
              <w:t>招标人对招标文件进行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58"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ind w:firstLine="420" w:firstLineChars="200"/>
              <w:rPr>
                <w:rFonts w:hint="eastAsia" w:ascii="宋体" w:hAnsi="宋体" w:cs="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tc>
      </w:tr>
      <w:tr>
        <w:tblPrEx>
          <w:tblLayout w:type="fixed"/>
          <w:tblCellMar>
            <w:top w:w="0" w:type="dxa"/>
            <w:left w:w="0" w:type="dxa"/>
            <w:bottom w:w="0" w:type="dxa"/>
            <w:right w:w="0" w:type="dxa"/>
          </w:tblCellMar>
        </w:tblPrEx>
        <w:trPr>
          <w:trHeight w:val="445"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ascii="宋体" w:hAnsi="宋体"/>
                <w:kern w:val="0"/>
                <w:szCs w:val="21"/>
                <w:highlight w:val="none"/>
              </w:rPr>
            </w:pPr>
            <w:r>
              <w:rPr>
                <w:rFonts w:ascii="宋体" w:hAnsi="宋体"/>
                <w:kern w:val="0"/>
                <w:szCs w:val="21"/>
                <w:highlight w:val="none"/>
              </w:rPr>
              <w:t>2.2.4</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ascii="宋体" w:hAnsi="宋体"/>
                <w:kern w:val="0"/>
                <w:szCs w:val="21"/>
                <w:highlight w:val="none"/>
              </w:rPr>
            </w:pPr>
            <w:r>
              <w:rPr>
                <w:rFonts w:ascii="宋体" w:hAnsi="宋体"/>
                <w:kern w:val="0"/>
                <w:szCs w:val="21"/>
                <w:highlight w:val="none"/>
              </w:rPr>
              <w:t>投标人对招标文件及澄清修改提出异议的截止时间</w:t>
            </w:r>
          </w:p>
        </w:tc>
        <w:tc>
          <w:tcPr>
            <w:tcW w:w="6458"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ind w:firstLine="420" w:firstLineChars="200"/>
              <w:rPr>
                <w:rFonts w:hint="eastAsia" w:ascii="宋体" w:hAnsi="宋体"/>
                <w:snapToGrid w:val="0"/>
                <w:kern w:val="0"/>
                <w:szCs w:val="21"/>
                <w:highlight w:val="none"/>
              </w:rPr>
            </w:pPr>
            <w:r>
              <w:rPr>
                <w:rFonts w:ascii="宋体" w:hAnsi="宋体"/>
                <w:snapToGrid w:val="0"/>
                <w:kern w:val="0"/>
                <w:szCs w:val="21"/>
                <w:highlight w:val="none"/>
              </w:rPr>
              <w:t>投标人对招标文件和</w:t>
            </w:r>
            <w:r>
              <w:rPr>
                <w:rFonts w:hint="eastAsia" w:ascii="宋体" w:hAnsi="宋体"/>
                <w:snapToGrid w:val="0"/>
                <w:kern w:val="0"/>
                <w:szCs w:val="21"/>
                <w:highlight w:val="none"/>
              </w:rPr>
              <w:t>澄清修改</w:t>
            </w:r>
            <w:r>
              <w:rPr>
                <w:rFonts w:ascii="宋体" w:hAnsi="宋体"/>
                <w:snapToGrid w:val="0"/>
                <w:kern w:val="0"/>
                <w:szCs w:val="21"/>
                <w:highlight w:val="none"/>
              </w:rPr>
              <w:t>有异议的，应当在投标截止时间10日前，</w:t>
            </w:r>
            <w:r>
              <w:rPr>
                <w:rFonts w:hint="eastAsia" w:ascii="宋体" w:hAnsi="宋体"/>
                <w:snapToGrid w:val="0"/>
                <w:kern w:val="0"/>
                <w:szCs w:val="21"/>
                <w:highlight w:val="none"/>
              </w:rPr>
              <w:t>以书面形式通知招标人或招标代理机构</w:t>
            </w:r>
            <w:r>
              <w:rPr>
                <w:rFonts w:ascii="宋体" w:hAnsi="宋体"/>
                <w:snapToGrid w:val="0"/>
                <w:kern w:val="0"/>
                <w:szCs w:val="21"/>
                <w:highlight w:val="none"/>
              </w:rPr>
              <w:t>。招标人应当自收到异议之日起3日内做出答复，</w:t>
            </w:r>
            <w:r>
              <w:rPr>
                <w:rFonts w:hint="eastAsia" w:ascii="宋体" w:hAnsi="宋体"/>
                <w:snapToGrid w:val="0"/>
                <w:kern w:val="0"/>
                <w:szCs w:val="21"/>
                <w:highlight w:val="none"/>
              </w:rPr>
              <w:t>答复内容可能影响投标文件编制的，将以修改的形式于投标截止时间15日前在</w:t>
            </w:r>
            <w:r>
              <w:rPr>
                <w:rFonts w:hint="eastAsia" w:ascii="宋体" w:hAnsi="宋体"/>
                <w:snapToGrid w:val="0"/>
                <w:kern w:val="0"/>
                <w:szCs w:val="21"/>
                <w:highlight w:val="none"/>
                <w:u w:val="single"/>
              </w:rPr>
              <w:t>重庆市公共资源交易网（www.cqggzy.com）</w:t>
            </w:r>
            <w:r>
              <w:rPr>
                <w:rFonts w:hint="eastAsia" w:ascii="宋体" w:hAnsi="宋体"/>
                <w:snapToGrid w:val="0"/>
                <w:kern w:val="0"/>
                <w:szCs w:val="21"/>
                <w:highlight w:val="none"/>
              </w:rPr>
              <w:t>澄清修改区发布。发布时间至投标截止时间不足15日的，须相应延后投标截止时间</w:t>
            </w:r>
            <w:r>
              <w:rPr>
                <w:rFonts w:ascii="宋体" w:hAnsi="宋体"/>
                <w:snapToGrid w:val="0"/>
                <w:kern w:val="0"/>
                <w:szCs w:val="21"/>
                <w:highlight w:val="none"/>
              </w:rPr>
              <w:t>。</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3.1.1</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构成投标文件的</w:t>
            </w:r>
          </w:p>
          <w:p>
            <w:pPr>
              <w:pStyle w:val="17"/>
              <w:snapToGrid w:val="0"/>
              <w:spacing w:afterLines="0" w:line="400" w:lineRule="exact"/>
              <w:jc w:val="center"/>
              <w:rPr>
                <w:rFonts w:hint="eastAsia" w:hAnsi="宋体" w:eastAsia="宋体" w:cs="宋体"/>
                <w:color w:val="auto"/>
                <w:sz w:val="21"/>
                <w:szCs w:val="21"/>
                <w:highlight w:val="none"/>
              </w:rPr>
            </w:pPr>
            <w:r>
              <w:rPr>
                <w:rFonts w:hint="eastAsia" w:hAnsi="宋体" w:eastAsia="宋体" w:cs="宋体"/>
                <w:bCs/>
                <w:color w:val="auto"/>
                <w:sz w:val="21"/>
                <w:szCs w:val="21"/>
                <w:highlight w:val="none"/>
              </w:rPr>
              <w:t>其他材料</w:t>
            </w:r>
          </w:p>
        </w:tc>
        <w:tc>
          <w:tcPr>
            <w:tcW w:w="6458"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both"/>
              <w:rPr>
                <w:rFonts w:hint="eastAsia" w:hAnsi="宋体" w:eastAsia="宋体" w:cs="宋体"/>
                <w:color w:val="auto"/>
                <w:sz w:val="21"/>
                <w:szCs w:val="21"/>
                <w:highlight w:val="none"/>
              </w:rPr>
            </w:pPr>
            <w:r>
              <w:rPr>
                <w:rFonts w:hint="eastAsia" w:hAnsi="宋体" w:eastAsia="宋体" w:cs="宋体"/>
                <w:bCs/>
                <w:color w:val="auto"/>
                <w:sz w:val="21"/>
                <w:szCs w:val="21"/>
                <w:highlight w:val="none"/>
              </w:rPr>
              <w:t>投标人的书面澄清、说明及补正（但不得改变投标文件的实质性内容）。</w:t>
            </w:r>
          </w:p>
        </w:tc>
      </w:tr>
      <w:tr>
        <w:tblPrEx>
          <w:tblLayout w:type="fixed"/>
          <w:tblCellMar>
            <w:top w:w="0" w:type="dxa"/>
            <w:left w:w="0" w:type="dxa"/>
            <w:bottom w:w="0" w:type="dxa"/>
            <w:right w:w="0"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3.2.3</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报价</w:t>
            </w:r>
            <w:r>
              <w:rPr>
                <w:rFonts w:hint="eastAsia" w:ascii="宋体" w:hAnsi="宋体" w:cs="宋体"/>
                <w:spacing w:val="-2"/>
                <w:kern w:val="0"/>
                <w:szCs w:val="21"/>
                <w:highlight w:val="none"/>
              </w:rPr>
              <w:t>方</w:t>
            </w:r>
            <w:r>
              <w:rPr>
                <w:rFonts w:hint="eastAsia" w:ascii="宋体" w:hAnsi="宋体" w:cs="宋体"/>
                <w:kern w:val="0"/>
                <w:szCs w:val="21"/>
                <w:highlight w:val="none"/>
              </w:rPr>
              <w:t>式</w:t>
            </w:r>
          </w:p>
        </w:tc>
        <w:tc>
          <w:tcPr>
            <w:tcW w:w="6458" w:type="dxa"/>
            <w:tcBorders>
              <w:top w:val="single" w:color="000000" w:sz="4" w:space="0"/>
              <w:left w:val="single" w:color="000000" w:sz="4" w:space="0"/>
              <w:bottom w:val="single" w:color="000000" w:sz="4" w:space="0"/>
              <w:right w:val="single" w:color="000000" w:sz="4" w:space="0"/>
            </w:tcBorders>
            <w:vAlign w:val="center"/>
          </w:tcPr>
          <w:p>
            <w:pPr>
              <w:numPr>
                <w:ilvl w:val="0"/>
                <w:numId w:val="0"/>
              </w:numPr>
              <w:tabs>
                <w:tab w:val="left" w:pos="1050"/>
                <w:tab w:val="left" w:pos="1470"/>
              </w:tabs>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 xml:space="preserve">1. </w:t>
            </w:r>
            <w:r>
              <w:rPr>
                <w:rFonts w:hint="eastAsia" w:ascii="宋体" w:hAnsi="宋体" w:cs="宋体"/>
                <w:kern w:val="0"/>
                <w:szCs w:val="21"/>
                <w:highlight w:val="none"/>
                <w:lang w:val="en-GB"/>
              </w:rPr>
              <w:t>投标人的报价范围应是本项目服务范围内的全部工作内容。</w:t>
            </w:r>
            <w:r>
              <w:rPr>
                <w:rFonts w:hint="eastAsia" w:ascii="宋体" w:hAnsi="宋体" w:cs="宋体"/>
                <w:b/>
                <w:bCs/>
                <w:kern w:val="0"/>
                <w:szCs w:val="21"/>
                <w:highlight w:val="none"/>
              </w:rPr>
              <w:t>本项目合同费用采用总价包干方式</w:t>
            </w:r>
            <w:r>
              <w:rPr>
                <w:rFonts w:hint="eastAsia" w:ascii="宋体" w:hAnsi="宋体" w:cs="宋体"/>
                <w:b/>
                <w:bCs/>
                <w:kern w:val="0"/>
                <w:szCs w:val="21"/>
                <w:highlight w:val="none"/>
                <w:lang w:val="en-GB"/>
              </w:rPr>
              <w:t>。</w:t>
            </w:r>
          </w:p>
          <w:p>
            <w:pPr>
              <w:tabs>
                <w:tab w:val="left" w:pos="1050"/>
                <w:tab w:val="left" w:pos="1470"/>
              </w:tabs>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lang w:val="en-GB"/>
              </w:rPr>
            </w:pPr>
            <w:r>
              <w:rPr>
                <w:rFonts w:hint="eastAsia" w:ascii="宋体" w:hAnsi="宋体" w:cs="宋体"/>
                <w:kern w:val="0"/>
                <w:szCs w:val="21"/>
                <w:highlight w:val="none"/>
                <w:lang w:val="en-GB"/>
              </w:rPr>
              <w:t>2.</w:t>
            </w:r>
            <w:r>
              <w:rPr>
                <w:rFonts w:hint="eastAsia" w:ascii="宋体" w:hAnsi="宋体" w:cs="宋体"/>
                <w:kern w:val="0"/>
                <w:highlight w:val="none"/>
              </w:rPr>
              <w:t xml:space="preserve"> </w:t>
            </w:r>
            <w:r>
              <w:rPr>
                <w:rFonts w:hint="eastAsia" w:ascii="宋体" w:hAnsi="宋体" w:cs="宋体"/>
                <w:kern w:val="0"/>
                <w:szCs w:val="21"/>
                <w:highlight w:val="none"/>
                <w:lang w:val="en-GB"/>
              </w:rPr>
              <w:t>本项目投标人应根据招标文件的要求，并结合自身实力和市场行情，对咨询服务工作进行自主报价，投标总报价应包括为完成全部工作范围内所需的人工费、设施设备费、安全措施费、物资费、样品鉴定费、打印费、证件办理费、保险费、风险费、措施费、交通费、差旅费、会议费、专家费、</w:t>
            </w:r>
            <w:r>
              <w:rPr>
                <w:rFonts w:hint="eastAsia" w:ascii="宋体" w:hAnsi="宋体" w:cs="宋体"/>
                <w:kern w:val="0"/>
                <w:szCs w:val="21"/>
                <w:highlight w:val="none"/>
                <w:lang w:val="en-GB" w:eastAsia="zh-CN"/>
              </w:rPr>
              <w:t>评审费、</w:t>
            </w:r>
            <w:r>
              <w:rPr>
                <w:rFonts w:hint="eastAsia" w:ascii="宋体" w:hAnsi="宋体" w:cs="宋体"/>
                <w:kern w:val="0"/>
                <w:szCs w:val="21"/>
                <w:highlight w:val="none"/>
                <w:lang w:val="en-GB"/>
              </w:rPr>
              <w:t>手续费、</w:t>
            </w:r>
            <w:r>
              <w:rPr>
                <w:rFonts w:hint="eastAsia" w:ascii="宋体" w:hAnsi="宋体" w:cs="宋体"/>
                <w:kern w:val="0"/>
                <w:szCs w:val="21"/>
                <w:highlight w:val="none"/>
                <w:lang w:val="zh-CN"/>
              </w:rPr>
              <w:t>管理费、利润</w:t>
            </w:r>
            <w:r>
              <w:rPr>
                <w:rFonts w:hint="eastAsia" w:ascii="宋体" w:hAnsi="宋体" w:cs="宋体"/>
                <w:kern w:val="0"/>
                <w:szCs w:val="21"/>
                <w:highlight w:val="none"/>
                <w:lang w:val="en-GB"/>
              </w:rPr>
              <w:t>以及完成</w:t>
            </w:r>
            <w:r>
              <w:rPr>
                <w:rFonts w:hint="eastAsia" w:ascii="宋体" w:hAnsi="宋体" w:cs="宋体"/>
                <w:kern w:val="0"/>
                <w:szCs w:val="21"/>
                <w:highlight w:val="none"/>
                <w:lang w:val="en-GB" w:eastAsia="zh-CN"/>
              </w:rPr>
              <w:t>相关</w:t>
            </w:r>
            <w:r>
              <w:rPr>
                <w:rFonts w:hint="eastAsia" w:ascii="宋体" w:hAnsi="宋体" w:cs="宋体"/>
                <w:kern w:val="0"/>
                <w:szCs w:val="21"/>
                <w:highlight w:val="none"/>
                <w:lang w:val="en-GB"/>
              </w:rPr>
              <w:t>手续办理等工作的所有费用，招标人不再另行支付任何费用。在合同履行期间，无论物价变动、国家或地方政府的法律法规的变动均不增减服务费。</w:t>
            </w:r>
          </w:p>
          <w:p>
            <w:pPr>
              <w:tabs>
                <w:tab w:val="left" w:pos="1050"/>
                <w:tab w:val="left" w:pos="1470"/>
              </w:tabs>
              <w:autoSpaceDE w:val="0"/>
              <w:autoSpaceDN w:val="0"/>
              <w:adjustRightInd w:val="0"/>
              <w:snapToGrid w:val="0"/>
              <w:spacing w:afterLines="0" w:line="400" w:lineRule="exact"/>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 合同履行期间，若甲方需增加研究区域，则增加的区域中，3km²（含）以内部分，由乙方免费提供服务；3km²以外部分，按合同咨询费总金额除以37km²计算单价后，以面积计费。</w:t>
            </w:r>
          </w:p>
          <w:p>
            <w:pPr>
              <w:tabs>
                <w:tab w:val="left" w:pos="1050"/>
                <w:tab w:val="left" w:pos="1470"/>
              </w:tabs>
              <w:autoSpaceDE w:val="0"/>
              <w:autoSpaceDN w:val="0"/>
              <w:adjustRightInd w:val="0"/>
              <w:snapToGrid w:val="0"/>
              <w:spacing w:afterLines="0" w:line="400" w:lineRule="exact"/>
              <w:ind w:firstLine="420" w:firstLineChars="200"/>
              <w:jc w:val="left"/>
              <w:rPr>
                <w:rFonts w:hint="eastAsia" w:ascii="宋体" w:hAnsi="宋体" w:cs="宋体"/>
                <w:b/>
                <w:bCs/>
                <w:kern w:val="0"/>
                <w:szCs w:val="21"/>
                <w:highlight w:val="none"/>
                <w:lang w:val="en-GB"/>
              </w:rPr>
            </w:pPr>
            <w:r>
              <w:rPr>
                <w:rFonts w:hint="eastAsia" w:ascii="宋体" w:hAnsi="宋体" w:cs="宋体"/>
                <w:b w:val="0"/>
                <w:bCs w:val="0"/>
                <w:kern w:val="0"/>
                <w:szCs w:val="21"/>
                <w:highlight w:val="none"/>
                <w:lang w:val="en-US" w:eastAsia="zh-CN"/>
              </w:rPr>
              <w:t>4</w:t>
            </w:r>
            <w:r>
              <w:rPr>
                <w:rFonts w:hint="eastAsia" w:ascii="宋体" w:hAnsi="宋体" w:cs="宋体"/>
                <w:b w:val="0"/>
                <w:bCs w:val="0"/>
                <w:kern w:val="0"/>
                <w:szCs w:val="21"/>
                <w:highlight w:val="none"/>
                <w:lang w:val="en-GB"/>
              </w:rPr>
              <w:t>.</w:t>
            </w:r>
            <w:r>
              <w:rPr>
                <w:rFonts w:hint="eastAsia" w:ascii="宋体" w:hAnsi="宋体" w:cs="宋体"/>
                <w:b/>
                <w:bCs/>
                <w:kern w:val="0"/>
                <w:highlight w:val="none"/>
              </w:rPr>
              <w:t xml:space="preserve"> </w:t>
            </w:r>
            <w:r>
              <w:rPr>
                <w:rFonts w:hint="eastAsia" w:ascii="宋体" w:hAnsi="宋体" w:cs="宋体"/>
                <w:b/>
                <w:bCs/>
                <w:kern w:val="0"/>
                <w:szCs w:val="21"/>
                <w:highlight w:val="none"/>
                <w:lang w:val="en-GB"/>
              </w:rPr>
              <w:t>本项目投标总报价最高限价为</w:t>
            </w:r>
            <w:r>
              <w:rPr>
                <w:rFonts w:hint="eastAsia" w:ascii="宋体" w:hAnsi="宋体" w:cs="宋体"/>
                <w:b/>
                <w:bCs/>
                <w:kern w:val="0"/>
                <w:szCs w:val="21"/>
                <w:highlight w:val="none"/>
                <w:u w:val="single"/>
                <w:lang w:val="en-US" w:eastAsia="zh-CN"/>
              </w:rPr>
              <w:t>891509.00</w:t>
            </w:r>
            <w:r>
              <w:rPr>
                <w:rFonts w:hint="eastAsia" w:ascii="宋体" w:hAnsi="宋体" w:cs="宋体"/>
                <w:b/>
                <w:bCs/>
                <w:kern w:val="0"/>
                <w:szCs w:val="21"/>
                <w:highlight w:val="none"/>
                <w:lang w:val="en-GB"/>
              </w:rPr>
              <w:t>元（不</w:t>
            </w:r>
            <w:r>
              <w:rPr>
                <w:rFonts w:hint="eastAsia" w:ascii="宋体" w:hAnsi="宋体" w:cs="宋体"/>
                <w:b/>
                <w:bCs/>
                <w:kern w:val="0"/>
                <w:szCs w:val="21"/>
                <w:highlight w:val="none"/>
                <w:u w:val="single"/>
                <w:lang w:val="en-GB"/>
              </w:rPr>
              <w:t>含增值税</w:t>
            </w:r>
            <w:r>
              <w:rPr>
                <w:rFonts w:hint="eastAsia" w:ascii="宋体" w:hAnsi="宋体" w:cs="宋体"/>
                <w:b/>
                <w:bCs/>
                <w:kern w:val="0"/>
                <w:szCs w:val="21"/>
                <w:highlight w:val="none"/>
                <w:lang w:val="en-GB"/>
              </w:rPr>
              <w:t>）。投标人的投标总报价不得超过最高限价，否则其投标将被否决。</w:t>
            </w:r>
          </w:p>
          <w:p>
            <w:pPr>
              <w:pStyle w:val="19"/>
              <w:autoSpaceDE/>
              <w:autoSpaceDN/>
              <w:adjustRightInd w:val="0"/>
              <w:snapToGrid w:val="0"/>
              <w:spacing w:afterLines="0" w:line="400" w:lineRule="exact"/>
              <w:ind w:firstLine="420" w:firstLineChars="200"/>
              <w:rPr>
                <w:rFonts w:hint="eastAsia" w:eastAsia="宋体"/>
                <w:kern w:val="0"/>
                <w:sz w:val="21"/>
                <w:szCs w:val="21"/>
                <w:highlight w:val="none"/>
                <w:lang w:eastAsia="zh-CN"/>
              </w:rPr>
            </w:pPr>
            <w:r>
              <w:rPr>
                <w:rFonts w:hint="eastAsia"/>
                <w:kern w:val="0"/>
                <w:sz w:val="21"/>
                <w:szCs w:val="21"/>
                <w:highlight w:val="none"/>
                <w:lang w:val="en-US" w:eastAsia="zh-CN"/>
              </w:rPr>
              <w:t>5</w:t>
            </w:r>
            <w:r>
              <w:rPr>
                <w:rFonts w:hint="eastAsia"/>
                <w:kern w:val="0"/>
                <w:sz w:val="21"/>
                <w:szCs w:val="21"/>
                <w:highlight w:val="none"/>
                <w:lang w:val="en-GB"/>
              </w:rPr>
              <w:t>.</w:t>
            </w:r>
            <w:r>
              <w:rPr>
                <w:rFonts w:hint="eastAsia"/>
                <w:kern w:val="0"/>
                <w:sz w:val="21"/>
                <w:szCs w:val="21"/>
                <w:highlight w:val="none"/>
                <w:lang w:val="en-US"/>
              </w:rPr>
              <w:t xml:space="preserve"> </w:t>
            </w:r>
            <w:r>
              <w:rPr>
                <w:rFonts w:hint="eastAsia"/>
                <w:kern w:val="0"/>
                <w:sz w:val="21"/>
                <w:szCs w:val="21"/>
                <w:highlight w:val="none"/>
                <w:lang w:val="en-GB"/>
              </w:rPr>
              <w:t>本项目相关服务的工作依据和</w:t>
            </w:r>
            <w:r>
              <w:rPr>
                <w:rFonts w:hint="eastAsia"/>
                <w:kern w:val="0"/>
                <w:sz w:val="21"/>
                <w:szCs w:val="21"/>
                <w:highlight w:val="none"/>
              </w:rPr>
              <w:t>范围</w:t>
            </w:r>
            <w:r>
              <w:rPr>
                <w:rFonts w:hint="eastAsia"/>
                <w:kern w:val="0"/>
                <w:sz w:val="21"/>
                <w:szCs w:val="21"/>
                <w:highlight w:val="none"/>
                <w:lang w:eastAsia="zh-CN"/>
              </w:rPr>
              <w:t>为</w:t>
            </w:r>
            <w:r>
              <w:rPr>
                <w:rFonts w:hint="eastAsia"/>
                <w:kern w:val="0"/>
                <w:sz w:val="21"/>
                <w:szCs w:val="21"/>
                <w:highlight w:val="none"/>
              </w:rPr>
              <w:t>重庆新机场预可研、可研、总规报告编制</w:t>
            </w:r>
            <w:r>
              <w:rPr>
                <w:rFonts w:hint="eastAsia"/>
                <w:kern w:val="0"/>
                <w:sz w:val="21"/>
                <w:szCs w:val="21"/>
                <w:highlight w:val="none"/>
                <w:lang w:eastAsia="zh-CN"/>
              </w:rPr>
              <w:t>、审批</w:t>
            </w:r>
            <w:r>
              <w:rPr>
                <w:rFonts w:hint="eastAsia"/>
                <w:kern w:val="0"/>
                <w:sz w:val="21"/>
                <w:szCs w:val="21"/>
                <w:highlight w:val="none"/>
              </w:rPr>
              <w:t>和</w:t>
            </w:r>
            <w:r>
              <w:rPr>
                <w:rFonts w:hint="eastAsia"/>
                <w:kern w:val="0"/>
                <w:sz w:val="21"/>
                <w:szCs w:val="21"/>
                <w:highlight w:val="none"/>
                <w:lang w:eastAsia="zh-CN"/>
              </w:rPr>
              <w:t>综合交通枢纽工程</w:t>
            </w:r>
            <w:r>
              <w:rPr>
                <w:rFonts w:hint="eastAsia"/>
                <w:kern w:val="0"/>
                <w:sz w:val="21"/>
                <w:szCs w:val="21"/>
                <w:highlight w:val="none"/>
              </w:rPr>
              <w:t>立项（代可研）报告编制需求</w:t>
            </w:r>
            <w:r>
              <w:rPr>
                <w:rFonts w:hint="eastAsia"/>
                <w:kern w:val="0"/>
                <w:sz w:val="21"/>
                <w:szCs w:val="21"/>
                <w:highlight w:val="none"/>
                <w:lang w:eastAsia="zh-CN"/>
              </w:rPr>
              <w:t>。</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3.3.1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有</w:t>
            </w:r>
            <w:r>
              <w:rPr>
                <w:rFonts w:hint="eastAsia" w:ascii="宋体" w:hAnsi="宋体" w:cs="宋体"/>
                <w:kern w:val="0"/>
                <w:szCs w:val="21"/>
                <w:highlight w:val="none"/>
              </w:rPr>
              <w:t>效期</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210" w:firstLineChars="100"/>
              <w:jc w:val="left"/>
              <w:rPr>
                <w:rFonts w:hint="eastAsia" w:ascii="宋体" w:hAnsi="宋体" w:cs="宋体"/>
                <w:kern w:val="0"/>
                <w:szCs w:val="21"/>
                <w:highlight w:val="none"/>
              </w:rPr>
            </w:pPr>
            <w:r>
              <w:rPr>
                <w:rFonts w:hint="eastAsia" w:ascii="宋体" w:hAnsi="宋体" w:cs="宋体"/>
                <w:szCs w:val="21"/>
                <w:highlight w:val="none"/>
                <w:u w:val="single"/>
              </w:rPr>
              <w:t xml:space="preserve"> 90</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日历天（从提交投标文件截止日起计算）</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3.4.1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保</w:t>
            </w:r>
            <w:r>
              <w:rPr>
                <w:rFonts w:hint="eastAsia" w:ascii="宋体" w:hAnsi="宋体" w:cs="宋体"/>
                <w:kern w:val="0"/>
                <w:szCs w:val="21"/>
                <w:highlight w:val="none"/>
              </w:rPr>
              <w:t>证金</w:t>
            </w:r>
          </w:p>
        </w:tc>
        <w:tc>
          <w:tcPr>
            <w:tcW w:w="6458"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投标保证金的交纳方式：投标人可选择以下三种方式之一。</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方式一</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一、以电子投标保函形式交纳投标保证金</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若投标截止时间延期，则电子投标保函提交的截止时间和投标截止时间应当保持一致。</w:t>
            </w:r>
          </w:p>
          <w:p>
            <w:pPr>
              <w:snapToGrid w:val="0"/>
              <w:spacing w:afterLines="0" w:line="400" w:lineRule="exact"/>
              <w:ind w:firstLine="420" w:firstLineChars="200"/>
              <w:rPr>
                <w:rFonts w:hint="eastAsia" w:ascii="宋体" w:hAnsi="宋体" w:cs="宋体"/>
                <w:highlight w:val="none"/>
              </w:rPr>
            </w:pPr>
            <w:r>
              <w:rPr>
                <w:rFonts w:hint="eastAsia" w:ascii="宋体" w:hAnsi="宋体" w:cs="宋体"/>
                <w:kern w:val="0"/>
                <w:szCs w:val="21"/>
                <w:highlight w:val="none"/>
              </w:rPr>
              <w:t>不满足上述要求的电子投标保函无效。</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2. 以电子投标保函形式担保的投标保证金的金额：</w:t>
            </w:r>
            <w:r>
              <w:rPr>
                <w:rFonts w:hint="eastAsia" w:ascii="宋体" w:hAnsi="宋体" w:cs="宋体"/>
                <w:highlight w:val="none"/>
                <w:u w:val="single"/>
              </w:rPr>
              <w:t xml:space="preserve"> </w:t>
            </w:r>
            <w:r>
              <w:rPr>
                <w:rFonts w:hint="eastAsia" w:ascii="宋体" w:hAnsi="宋体" w:cs="宋体"/>
                <w:highlight w:val="none"/>
                <w:u w:val="single"/>
                <w:lang w:val="en-US" w:eastAsia="zh-CN"/>
              </w:rPr>
              <w:t>1</w:t>
            </w:r>
            <w:r>
              <w:rPr>
                <w:rFonts w:hint="eastAsia" w:ascii="宋体" w:hAnsi="宋体" w:cs="宋体"/>
                <w:highlight w:val="none"/>
                <w:u w:val="single"/>
              </w:rPr>
              <w:t xml:space="preserve"> </w:t>
            </w:r>
            <w:r>
              <w:rPr>
                <w:rFonts w:hint="eastAsia" w:ascii="宋体" w:hAnsi="宋体" w:cs="宋体"/>
                <w:highlight w:val="none"/>
              </w:rPr>
              <w:t>万元整（人民币）。</w:t>
            </w:r>
          </w:p>
          <w:p>
            <w:pPr>
              <w:spacing w:afterLines="0" w:line="400" w:lineRule="exact"/>
              <w:ind w:firstLine="420" w:firstLineChars="200"/>
              <w:rPr>
                <w:rFonts w:hint="eastAsia" w:ascii="宋体" w:hAnsi="宋体" w:cs="宋体"/>
                <w:highlight w:val="none"/>
              </w:rPr>
            </w:pPr>
            <w:r>
              <w:rPr>
                <w:rFonts w:hint="eastAsia" w:ascii="宋体" w:hAnsi="宋体" w:cs="宋体"/>
                <w:highlight w:val="none"/>
              </w:rPr>
              <w:t>3. 电子投标保函</w:t>
            </w:r>
          </w:p>
          <w:p>
            <w:pPr>
              <w:snapToGrid w:val="0"/>
              <w:spacing w:afterLines="0" w:line="400" w:lineRule="exact"/>
              <w:ind w:firstLine="420" w:firstLineChars="200"/>
              <w:rPr>
                <w:highlight w:val="none"/>
              </w:rPr>
            </w:pPr>
            <w:r>
              <w:rPr>
                <w:rFonts w:hint="eastAsia" w:ascii="宋体" w:hAnsi="宋体" w:cs="宋体"/>
                <w:highlight w:val="none"/>
              </w:rPr>
              <w:t>以</w:t>
            </w:r>
            <w:r>
              <w:rPr>
                <w:rFonts w:hint="eastAsia" w:ascii="宋体" w:hAnsi="宋体" w:cs="宋体"/>
                <w:highlight w:val="none"/>
                <w:u w:val="single"/>
              </w:rPr>
              <w:t>重庆市公共资源交易中心</w:t>
            </w:r>
            <w:r>
              <w:rPr>
                <w:rFonts w:hint="eastAsia" w:ascii="宋体" w:hAnsi="宋体" w:cs="宋体"/>
                <w:highlight w:val="none"/>
              </w:rPr>
              <w:t>开标现场展示的电子投标保函交纳情况为准，投标人在投标时无须再提供电子投标保函的相关资料。</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二、电子投标保函的注销</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招标人应当在法定时间内确定中标人。招标人应当在中标通知书发出后2个工作日内将中标通知书和电子投标保函退还通知抄告</w:t>
            </w:r>
            <w:r>
              <w:rPr>
                <w:rFonts w:hint="eastAsia" w:ascii="宋体" w:hAnsi="宋体" w:cs="宋体"/>
                <w:highlight w:val="none"/>
                <w:u w:val="single"/>
              </w:rPr>
              <w:t>重庆市公共资源交易中心</w:t>
            </w:r>
            <w:r>
              <w:rPr>
                <w:rFonts w:hint="eastAsia" w:ascii="宋体" w:hAnsi="宋体" w:cs="宋体"/>
                <w:highlight w:val="none"/>
                <w:lang w:eastAsia="zh-CN"/>
              </w:rPr>
              <w:t>，</w:t>
            </w:r>
            <w:r>
              <w:rPr>
                <w:rFonts w:hint="eastAsia" w:ascii="宋体" w:hAnsi="宋体" w:cs="宋体"/>
                <w:highlight w:val="none"/>
                <w:u w:val="single"/>
              </w:rPr>
              <w:t>重庆市公共资源交易中心</w:t>
            </w:r>
            <w:r>
              <w:rPr>
                <w:rFonts w:hint="eastAsia" w:ascii="宋体" w:hAnsi="宋体" w:cs="宋体"/>
                <w:highlight w:val="none"/>
              </w:rPr>
              <w:t>在收到电子投标保函退还通知后2个工作日内，将保函注销信息推送给重庆市公共资源交易金融服务平台，由保函出具机构注销除中标人和中标候选人以外的投标人电子投标保函。</w:t>
            </w:r>
          </w:p>
          <w:p>
            <w:pPr>
              <w:spacing w:afterLines="0" w:line="400" w:lineRule="exact"/>
              <w:ind w:firstLine="420" w:firstLineChars="200"/>
              <w:rPr>
                <w:rFonts w:hint="eastAsia" w:ascii="宋体" w:hAnsi="宋体" w:cs="宋体"/>
                <w:highlight w:val="none"/>
              </w:rPr>
            </w:pPr>
            <w:r>
              <w:rPr>
                <w:rFonts w:hint="eastAsia" w:ascii="宋体" w:hAnsi="宋体" w:cs="宋体"/>
                <w:highlight w:val="none"/>
              </w:rPr>
              <w:t>招标人应当在法定时间内和中标人签订合同。招标人应当在合同生效后2个工作日内将签订的合同和电子投标保函退还通知抄告</w:t>
            </w:r>
            <w:r>
              <w:rPr>
                <w:rFonts w:hint="eastAsia" w:ascii="宋体" w:hAnsi="宋体" w:cs="宋体"/>
                <w:highlight w:val="none"/>
                <w:u w:val="single"/>
              </w:rPr>
              <w:t>重庆市公共资源交易中心</w:t>
            </w:r>
            <w:r>
              <w:rPr>
                <w:rFonts w:hint="eastAsia" w:ascii="宋体" w:hAnsi="宋体" w:cs="宋体"/>
                <w:highlight w:val="none"/>
                <w:lang w:eastAsia="zh-CN"/>
              </w:rPr>
              <w:t>，</w:t>
            </w:r>
            <w:r>
              <w:rPr>
                <w:rFonts w:hint="eastAsia" w:ascii="宋体" w:hAnsi="宋体" w:cs="宋体"/>
                <w:highlight w:val="none"/>
                <w:u w:val="single"/>
              </w:rPr>
              <w:t>重庆市公共资源交易中心</w:t>
            </w:r>
            <w:r>
              <w:rPr>
                <w:rFonts w:hint="eastAsia" w:ascii="宋体" w:hAnsi="宋体" w:cs="宋体"/>
                <w:highlight w:val="none"/>
              </w:rPr>
              <w:t>在收到电子投标保函退还通知后2个工作日内，将保函注销信息推送给重庆市公共资源交易金融服务平台，由保函出具机构注销中标人和中标候选人的电子投标保函。</w:t>
            </w:r>
          </w:p>
          <w:p>
            <w:pPr>
              <w:snapToGrid w:val="0"/>
              <w:spacing w:afterLines="0" w:line="400" w:lineRule="exact"/>
              <w:ind w:firstLine="420" w:firstLineChars="200"/>
              <w:rPr>
                <w:rFonts w:hint="eastAsia" w:ascii="宋体" w:hAnsi="宋体" w:cs="宋体"/>
                <w:highlight w:val="none"/>
              </w:rPr>
            </w:pP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方式二</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一、以转账支票或电汇形式交纳投标保证金</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1. 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s="宋体"/>
                <w:kern w:val="0"/>
                <w:szCs w:val="21"/>
                <w:highlight w:val="none"/>
              </w:rPr>
              <w:t>不满足上述要求的投标保证金无效。</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投标人自行考虑汇入时间风险，如同城汇入、异地汇入、跨行汇入的时间要求。</w:t>
            </w:r>
          </w:p>
          <w:p>
            <w:pPr>
              <w:numPr>
                <w:ilvl w:val="0"/>
                <w:numId w:val="1"/>
              </w:num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以转账支票或电汇形式提交投标保证金的金额：</w:t>
            </w:r>
            <w:r>
              <w:rPr>
                <w:rFonts w:hint="eastAsia" w:ascii="宋体" w:hAnsi="宋体" w:cs="宋体"/>
                <w:highlight w:val="none"/>
                <w:u w:val="single"/>
              </w:rPr>
              <w:t xml:space="preserve"> </w:t>
            </w:r>
            <w:r>
              <w:rPr>
                <w:rFonts w:hint="eastAsia" w:ascii="宋体" w:hAnsi="宋体" w:cs="宋体"/>
                <w:highlight w:val="none"/>
                <w:u w:val="single"/>
                <w:lang w:val="en-US" w:eastAsia="zh-CN"/>
              </w:rPr>
              <w:t>1</w:t>
            </w:r>
            <w:r>
              <w:rPr>
                <w:rFonts w:hint="eastAsia" w:ascii="宋体" w:hAnsi="宋体" w:cs="宋体"/>
                <w:highlight w:val="none"/>
                <w:u w:val="single"/>
              </w:rPr>
              <w:t xml:space="preserve"> </w:t>
            </w:r>
            <w:r>
              <w:rPr>
                <w:rFonts w:hint="eastAsia" w:ascii="宋体" w:hAnsi="宋体" w:cs="宋体"/>
                <w:highlight w:val="none"/>
              </w:rPr>
              <w:t>万元整（人民币）。</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3.投标保证金账户及账号（任选其一）：</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详见</w:t>
            </w:r>
            <w:r>
              <w:rPr>
                <w:rFonts w:hint="eastAsia" w:ascii="宋体" w:hAnsi="宋体" w:cs="宋体"/>
                <w:highlight w:val="none"/>
                <w:u w:val="single"/>
              </w:rPr>
              <w:t>重庆市公共资源交易网（www.cqggzy.com）</w:t>
            </w:r>
            <w:r>
              <w:rPr>
                <w:rFonts w:hint="eastAsia" w:ascii="宋体" w:hAnsi="宋体" w:cs="宋体"/>
                <w:highlight w:val="none"/>
              </w:rPr>
              <w:t>对应本项目招标公告信息栏中的保证金信息。</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投标保证金以</w:t>
            </w:r>
            <w:r>
              <w:rPr>
                <w:rFonts w:hint="eastAsia" w:ascii="宋体" w:hAnsi="宋体" w:cs="宋体"/>
                <w:highlight w:val="none"/>
                <w:u w:val="single"/>
              </w:rPr>
              <w:t>重庆市公共资源交易中心</w:t>
            </w:r>
            <w:r>
              <w:rPr>
                <w:rFonts w:hint="eastAsia" w:ascii="宋体" w:hAnsi="宋体" w:cs="宋体"/>
                <w:highlight w:val="none"/>
              </w:rPr>
              <w:t>开标现场展示的保证金交纳情况为准。投标人须在投标文件</w:t>
            </w:r>
            <w:r>
              <w:rPr>
                <w:rFonts w:hint="eastAsia" w:ascii="宋体" w:hAnsi="宋体" w:cs="宋体"/>
                <w:kern w:val="0"/>
                <w:szCs w:val="21"/>
                <w:highlight w:val="none"/>
              </w:rPr>
              <w:t>中</w:t>
            </w:r>
            <w:r>
              <w:rPr>
                <w:rFonts w:hint="eastAsia" w:ascii="宋体" w:hAnsi="宋体" w:cs="宋体"/>
                <w:highlight w:val="none"/>
              </w:rPr>
              <w:t>提供企业基本账户开户证明文件。</w:t>
            </w:r>
          </w:p>
          <w:p>
            <w:pPr>
              <w:snapToGrid w:val="0"/>
              <w:spacing w:afterLines="0" w:line="400" w:lineRule="exact"/>
              <w:ind w:firstLine="420" w:firstLineChars="200"/>
              <w:rPr>
                <w:rFonts w:hint="eastAsia" w:ascii="宋体" w:hAnsi="宋体" w:cs="宋体"/>
                <w:highlight w:val="none"/>
                <w:u w:val="single"/>
              </w:rPr>
            </w:pPr>
            <w:r>
              <w:rPr>
                <w:rFonts w:hint="eastAsia" w:ascii="宋体" w:hAnsi="宋体" w:cs="宋体"/>
                <w:highlight w:val="none"/>
              </w:rPr>
              <w:t>4. 投标人必须在付款凭证备注栏中注明是“</w:t>
            </w:r>
            <w:r>
              <w:rPr>
                <w:rFonts w:hint="eastAsia" w:ascii="宋体" w:hAnsi="宋体" w:cs="宋体"/>
                <w:snapToGrid w:val="0"/>
                <w:kern w:val="0"/>
                <w:szCs w:val="21"/>
                <w:highlight w:val="none"/>
                <w:u w:val="single"/>
              </w:rPr>
              <w:t>重庆新机场</w:t>
            </w:r>
            <w:r>
              <w:rPr>
                <w:rFonts w:hint="eastAsia" w:ascii="宋体" w:hAnsi="宋体" w:cs="宋体"/>
                <w:snapToGrid w:val="0"/>
                <w:kern w:val="0"/>
                <w:szCs w:val="21"/>
                <w:highlight w:val="none"/>
                <w:u w:val="single"/>
                <w:lang w:eastAsia="zh-CN"/>
              </w:rPr>
              <w:t>防洪专项研究</w:t>
            </w:r>
            <w:r>
              <w:rPr>
                <w:rFonts w:hint="eastAsia" w:ascii="宋体" w:hAnsi="宋体" w:cs="宋体"/>
                <w:highlight w:val="none"/>
              </w:rPr>
              <w:t>项目投标保证金”。项目名称可简写成：</w:t>
            </w:r>
            <w:r>
              <w:rPr>
                <w:rFonts w:hint="eastAsia" w:ascii="宋体" w:hAnsi="宋体" w:cs="宋体"/>
                <w:b/>
                <w:bCs/>
                <w:snapToGrid w:val="0"/>
                <w:kern w:val="0"/>
                <w:szCs w:val="21"/>
                <w:highlight w:val="none"/>
                <w:u w:val="single"/>
                <w:lang w:eastAsia="zh-CN"/>
              </w:rPr>
              <w:t>重庆</w:t>
            </w:r>
            <w:r>
              <w:rPr>
                <w:rFonts w:hint="eastAsia" w:ascii="宋体" w:hAnsi="宋体" w:cs="宋体"/>
                <w:b/>
                <w:bCs/>
                <w:snapToGrid w:val="0"/>
                <w:kern w:val="0"/>
                <w:szCs w:val="21"/>
                <w:highlight w:val="none"/>
                <w:u w:val="single"/>
              </w:rPr>
              <w:t>新机场</w:t>
            </w:r>
            <w:r>
              <w:rPr>
                <w:rFonts w:hint="eastAsia" w:ascii="宋体" w:hAnsi="宋体" w:cs="宋体"/>
                <w:b/>
                <w:bCs/>
                <w:snapToGrid w:val="0"/>
                <w:kern w:val="0"/>
                <w:szCs w:val="21"/>
                <w:highlight w:val="none"/>
                <w:u w:val="single"/>
                <w:lang w:eastAsia="zh-CN"/>
              </w:rPr>
              <w:t>防洪研究</w:t>
            </w:r>
            <w:r>
              <w:rPr>
                <w:rFonts w:hint="eastAsia" w:ascii="宋体" w:hAnsi="宋体" w:cs="宋体"/>
                <w:highlight w:val="none"/>
              </w:rPr>
              <w:t>。</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5. 投标保证金有效期与投标有效期一致。</w:t>
            </w:r>
          </w:p>
          <w:p>
            <w:pPr>
              <w:snapToGrid w:val="0"/>
              <w:spacing w:afterLines="0" w:line="400" w:lineRule="exact"/>
              <w:ind w:firstLine="420" w:firstLineChars="200"/>
              <w:rPr>
                <w:rFonts w:hint="eastAsia" w:eastAsia="宋体"/>
                <w:highlight w:val="none"/>
                <w:lang w:eastAsia="zh-CN"/>
              </w:rPr>
            </w:pPr>
            <w:r>
              <w:rPr>
                <w:rFonts w:hint="eastAsia" w:ascii="宋体" w:hAnsi="宋体" w:cs="宋体"/>
                <w:highlight w:val="none"/>
              </w:rPr>
              <w:t>6. 根据重庆市公共资源交易中心《关于开展公共资源交易市场主体信息登记工作的公告》的要求，投标人在开标前需在重庆市公共资源交易网（www.cqggzy.com）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二、投标保证金的退还</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招标人应当在法定时间内确定中标人。招标人应当在中标通知书发出后2个工作日内将中标通知书和保证金退还通知抄告</w:t>
            </w:r>
            <w:r>
              <w:rPr>
                <w:rFonts w:hint="eastAsia" w:ascii="宋体" w:hAnsi="宋体" w:cs="宋体"/>
                <w:highlight w:val="none"/>
                <w:u w:val="single"/>
              </w:rPr>
              <w:t>重庆市公共资源交易中心</w:t>
            </w:r>
            <w:r>
              <w:rPr>
                <w:rFonts w:hint="eastAsia" w:ascii="宋体" w:hAnsi="宋体" w:cs="宋体"/>
                <w:highlight w:val="none"/>
              </w:rPr>
              <w:t>，</w:t>
            </w:r>
            <w:r>
              <w:rPr>
                <w:rFonts w:hint="eastAsia" w:ascii="宋体" w:hAnsi="宋体" w:cs="宋体"/>
                <w:highlight w:val="none"/>
                <w:u w:val="single"/>
              </w:rPr>
              <w:t>重庆市公共资源交易中心</w:t>
            </w:r>
            <w:r>
              <w:rPr>
                <w:rFonts w:hint="eastAsia" w:ascii="宋体" w:hAnsi="宋体" w:cs="宋体"/>
                <w:highlight w:val="none"/>
              </w:rPr>
              <w:t>在收到保证金退还通知后2个工作日内，向除中标人和中标候选人以外的投标人，退还投标保证金及银行同期活期存款利息。</w:t>
            </w:r>
          </w:p>
          <w:p>
            <w:pPr>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招标人应当在法定时间内和中标人签订合同。招标人应当在合同生效后2个工作日内将签订的合同和保证金退还通知抄告</w:t>
            </w:r>
            <w:r>
              <w:rPr>
                <w:rFonts w:hint="eastAsia" w:ascii="宋体" w:hAnsi="宋体" w:cs="宋体"/>
                <w:highlight w:val="none"/>
                <w:u w:val="single"/>
              </w:rPr>
              <w:t>重庆市公共资源交易中心</w:t>
            </w:r>
            <w:r>
              <w:rPr>
                <w:rFonts w:hint="eastAsia" w:ascii="宋体" w:hAnsi="宋体" w:cs="宋体"/>
                <w:highlight w:val="none"/>
              </w:rPr>
              <w:t>，</w:t>
            </w:r>
            <w:r>
              <w:rPr>
                <w:rFonts w:hint="eastAsia" w:ascii="宋体" w:hAnsi="宋体" w:cs="宋体"/>
                <w:highlight w:val="none"/>
                <w:u w:val="single"/>
              </w:rPr>
              <w:t>重庆市公共资源交易中心</w:t>
            </w:r>
            <w:r>
              <w:rPr>
                <w:rFonts w:hint="eastAsia" w:ascii="宋体" w:hAnsi="宋体" w:cs="宋体"/>
                <w:highlight w:val="none"/>
              </w:rPr>
              <w:t>在收到保证金退还通知后2个工作日内，向中标人和中标候选人退还投标保证金及银行同期活期存款利息。</w:t>
            </w:r>
          </w:p>
          <w:p>
            <w:pPr>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highlight w:val="none"/>
              </w:rPr>
              <w:t>投标保证金专用账户由</w:t>
            </w:r>
            <w:r>
              <w:rPr>
                <w:rFonts w:hint="eastAsia" w:ascii="宋体" w:hAnsi="宋体" w:cs="宋体"/>
                <w:highlight w:val="none"/>
                <w:u w:val="single"/>
              </w:rPr>
              <w:t>重庆市公共资源交易中心</w:t>
            </w:r>
            <w:r>
              <w:rPr>
                <w:rFonts w:hint="eastAsia" w:ascii="宋体" w:hAnsi="宋体" w:cs="宋体"/>
                <w:highlight w:val="none"/>
              </w:rPr>
              <w:t>制定，关于保证金相关情况的问题请咨询</w:t>
            </w:r>
            <w:r>
              <w:rPr>
                <w:rFonts w:hint="eastAsia" w:ascii="宋体" w:hAnsi="宋体" w:cs="宋体"/>
                <w:highlight w:val="none"/>
                <w:u w:val="single"/>
              </w:rPr>
              <w:t>重庆市公共资源交易中心</w:t>
            </w:r>
            <w:r>
              <w:rPr>
                <w:rFonts w:hint="eastAsia" w:ascii="宋体" w:hAnsi="宋体" w:cs="宋体"/>
                <w:highlight w:val="none"/>
              </w:rPr>
              <w:t>，联系电话</w:t>
            </w:r>
            <w:r>
              <w:rPr>
                <w:rFonts w:hint="eastAsia" w:ascii="宋体" w:hAnsi="宋体" w:cs="宋体"/>
                <w:highlight w:val="none"/>
                <w:lang w:eastAsia="zh-CN"/>
              </w:rPr>
              <w:t>：</w:t>
            </w:r>
            <w:r>
              <w:rPr>
                <w:rFonts w:hint="eastAsia" w:ascii="宋体" w:hAnsi="宋体" w:cs="宋体"/>
                <w:kern w:val="0"/>
                <w:szCs w:val="21"/>
                <w:highlight w:val="none"/>
              </w:rPr>
              <w:t>023-63626436。</w:t>
            </w:r>
          </w:p>
          <w:p>
            <w:pPr>
              <w:snapToGrid w:val="0"/>
              <w:spacing w:afterLines="0" w:line="400" w:lineRule="exact"/>
              <w:ind w:firstLine="420" w:firstLineChars="200"/>
              <w:jc w:val="left"/>
              <w:rPr>
                <w:rFonts w:hint="eastAsia" w:ascii="宋体" w:hAnsi="宋体" w:cs="宋体"/>
                <w:kern w:val="0"/>
                <w:szCs w:val="21"/>
                <w:highlight w:val="none"/>
              </w:rPr>
            </w:pPr>
          </w:p>
          <w:p>
            <w:pPr>
              <w:adjustRightInd w:val="0"/>
              <w:snapToGrid w:val="0"/>
              <w:spacing w:afterLines="0" w:line="400" w:lineRule="exact"/>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方式三</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一、以纸质投标保函形式交纳投标保证金</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 纸质投标保函交纳形式及要求：</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（1）缴纳形式：投标人提供</w:t>
            </w:r>
            <w:r>
              <w:rPr>
                <w:rFonts w:hint="eastAsia" w:ascii="宋体" w:hAnsi="宋体" w:cs="宋体"/>
                <w:highlight w:val="none"/>
              </w:rPr>
              <w:t>不可撤销且见索即付</w:t>
            </w:r>
            <w:r>
              <w:rPr>
                <w:rFonts w:hint="eastAsia" w:ascii="宋体" w:hAnsi="宋体" w:cs="宋体"/>
                <w:kern w:val="0"/>
                <w:szCs w:val="21"/>
                <w:highlight w:val="none"/>
              </w:rPr>
              <w:t>的银行保函；</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（2）具体要求：</w:t>
            </w:r>
            <w:r>
              <w:rPr>
                <w:rFonts w:hint="eastAsia" w:ascii="宋体" w:hAnsi="宋体" w:cs="宋体"/>
                <w:highlight w:val="none"/>
              </w:rPr>
              <w:t>投标人须在投标文件</w:t>
            </w:r>
            <w:r>
              <w:rPr>
                <w:rFonts w:hint="eastAsia" w:ascii="宋体" w:hAnsi="宋体" w:cs="宋体"/>
                <w:kern w:val="0"/>
                <w:szCs w:val="21"/>
                <w:highlight w:val="none"/>
              </w:rPr>
              <w:t>中提供银行开具的纸质投标保函正本扫描件，纸质投标保函正本原件应当于投标截止时间前在开标现场递交招标人保管。纸质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pPr>
              <w:adjustRightInd w:val="0"/>
              <w:snapToGrid w:val="0"/>
              <w:spacing w:afterLines="0" w:line="400" w:lineRule="exact"/>
              <w:ind w:firstLine="420" w:firstLineChars="200"/>
              <w:rPr>
                <w:rFonts w:hint="eastAsia" w:ascii="宋体" w:hAnsi="宋体" w:cs="宋体"/>
                <w:highlight w:val="none"/>
              </w:rPr>
            </w:pPr>
            <w:r>
              <w:rPr>
                <w:rFonts w:hint="eastAsia" w:ascii="宋体" w:hAnsi="宋体" w:cs="宋体"/>
                <w:highlight w:val="none"/>
              </w:rPr>
              <w:t>若投标截止时间延期，则纸质投标保函递交的截止时间和投标截止时间保持一致。</w:t>
            </w:r>
          </w:p>
          <w:p>
            <w:pPr>
              <w:adjustRightInd w:val="0"/>
              <w:snapToGrid w:val="0"/>
              <w:spacing w:afterLines="0" w:line="400" w:lineRule="exact"/>
              <w:ind w:firstLine="420" w:firstLineChars="200"/>
              <w:rPr>
                <w:rFonts w:hint="eastAsia" w:ascii="宋体" w:hAnsi="宋体" w:cs="宋体"/>
                <w:highlight w:val="none"/>
              </w:rPr>
            </w:pPr>
            <w:r>
              <w:rPr>
                <w:rFonts w:hint="eastAsia" w:ascii="宋体" w:hAnsi="宋体" w:cs="宋体"/>
                <w:kern w:val="0"/>
                <w:szCs w:val="21"/>
                <w:highlight w:val="none"/>
              </w:rPr>
              <w:t>不满足上述要求的纸质投标保函无效。</w:t>
            </w:r>
          </w:p>
          <w:p>
            <w:pPr>
              <w:adjustRightInd w:val="0"/>
              <w:snapToGrid w:val="0"/>
              <w:spacing w:afterLines="0" w:line="400" w:lineRule="exact"/>
              <w:ind w:firstLine="420" w:firstLineChars="200"/>
              <w:rPr>
                <w:rFonts w:hint="eastAsia" w:ascii="宋体" w:hAnsi="宋体" w:cs="宋体"/>
                <w:highlight w:val="yellow"/>
              </w:rPr>
            </w:pPr>
            <w:r>
              <w:rPr>
                <w:rFonts w:hint="eastAsia" w:ascii="宋体" w:hAnsi="宋体" w:cs="宋体"/>
                <w:kern w:val="0"/>
                <w:szCs w:val="21"/>
                <w:highlight w:val="none"/>
              </w:rPr>
              <w:t xml:space="preserve">2. </w:t>
            </w:r>
            <w:r>
              <w:rPr>
                <w:rFonts w:hint="eastAsia" w:ascii="宋体" w:hAnsi="宋体" w:cs="宋体"/>
                <w:highlight w:val="none"/>
              </w:rPr>
              <w:t>以纸质投标保函形式担保的投标保证金的金额</w:t>
            </w:r>
            <w:r>
              <w:rPr>
                <w:rFonts w:hint="eastAsia" w:ascii="宋体" w:hAnsi="宋体" w:cs="宋体"/>
                <w:kern w:val="0"/>
                <w:szCs w:val="21"/>
                <w:highlight w:val="none"/>
              </w:rPr>
              <w:t>：</w:t>
            </w:r>
            <w:r>
              <w:rPr>
                <w:rFonts w:hint="eastAsia" w:ascii="宋体" w:hAnsi="宋体" w:cs="宋体"/>
                <w:highlight w:val="none"/>
                <w:u w:val="single"/>
              </w:rPr>
              <w:t xml:space="preserve"> </w:t>
            </w:r>
            <w:r>
              <w:rPr>
                <w:rFonts w:hint="eastAsia" w:ascii="宋体" w:hAnsi="宋体" w:cs="宋体"/>
                <w:highlight w:val="none"/>
                <w:u w:val="single"/>
                <w:lang w:val="en-US" w:eastAsia="zh-CN"/>
              </w:rPr>
              <w:t>1</w:t>
            </w:r>
            <w:r>
              <w:rPr>
                <w:rFonts w:hint="eastAsia" w:ascii="宋体" w:hAnsi="宋体" w:cs="宋体"/>
                <w:highlight w:val="none"/>
                <w:u w:val="single"/>
              </w:rPr>
              <w:t xml:space="preserve"> </w:t>
            </w:r>
            <w:r>
              <w:rPr>
                <w:rFonts w:hint="eastAsia" w:ascii="宋体" w:hAnsi="宋体" w:cs="宋体"/>
                <w:highlight w:val="none"/>
              </w:rPr>
              <w:t>万元</w:t>
            </w:r>
            <w:r>
              <w:rPr>
                <w:rFonts w:hint="eastAsia" w:ascii="宋体" w:hAnsi="宋体" w:cs="宋体"/>
                <w:kern w:val="0"/>
                <w:szCs w:val="21"/>
                <w:highlight w:val="none"/>
              </w:rPr>
              <w:t>整（人民币）</w:t>
            </w:r>
            <w:r>
              <w:rPr>
                <w:rFonts w:hint="eastAsia" w:ascii="宋体" w:hAnsi="宋体" w:cs="宋体"/>
                <w:highlight w:val="none"/>
              </w:rPr>
              <w:t>。</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 投标人须确保其递交的纸质投标保函能在重庆市中心城区（区县项目应在重庆市中心城区或项目所在区县）相关银行核验真伪，并</w:t>
            </w:r>
            <w:r>
              <w:rPr>
                <w:rFonts w:hint="eastAsia" w:ascii="宋体" w:hAnsi="宋体" w:cs="宋体"/>
                <w:highlight w:val="none"/>
              </w:rPr>
              <w:t>在投标文件</w:t>
            </w:r>
            <w:r>
              <w:rPr>
                <w:rFonts w:hint="eastAsia" w:ascii="宋体" w:hAnsi="宋体" w:cs="宋体"/>
                <w:kern w:val="0"/>
                <w:szCs w:val="21"/>
                <w:highlight w:val="none"/>
              </w:rPr>
              <w:t>中提供纸质投标保函的核验地点、方式和联系人，否则该纸质投标保函视为无效。</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4. 投标人在开标现场递交的纸质投标保函原件应与投标文件中提供的纸质投标保函扫描件一致，否则由评标委员会作否决投标处理。</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5. 在发出中标通知书前，招标人应当对投标人（至少中标候选人或中标人）的纸质投标保函开展核验。招标人按照投标人提供的核验地点、方式和联系人等信息无法对该纸质投标保函进行核验的，或发现投标人递交的纸质投标保函弄虚作假的，对</w:t>
            </w:r>
            <w:r>
              <w:rPr>
                <w:rFonts w:hint="eastAsia" w:ascii="宋体" w:hAnsi="宋体" w:cs="宋体"/>
                <w:szCs w:val="21"/>
                <w:highlight w:val="none"/>
              </w:rPr>
              <w:t>已取得中标候选人资格或中标资格的投标人，取消中标候选人资格或中标资格</w:t>
            </w:r>
            <w:r>
              <w:rPr>
                <w:rFonts w:hint="eastAsia" w:ascii="宋体" w:hAnsi="宋体" w:cs="宋体"/>
                <w:kern w:val="0"/>
                <w:szCs w:val="21"/>
                <w:highlight w:val="none"/>
              </w:rPr>
              <w:t>，</w:t>
            </w:r>
            <w:r>
              <w:rPr>
                <w:rFonts w:hint="eastAsia" w:ascii="宋体" w:hAnsi="宋体" w:cs="宋体"/>
                <w:szCs w:val="21"/>
                <w:highlight w:val="none"/>
              </w:rPr>
              <w:t>给招标人造成损失的，投标人依法承担赔偿责任。招标人对纸质投标保函无法核验的，</w:t>
            </w:r>
            <w:r>
              <w:rPr>
                <w:rFonts w:hint="eastAsia" w:ascii="宋体" w:hAnsi="宋体" w:cs="宋体"/>
                <w:kern w:val="0"/>
                <w:szCs w:val="21"/>
                <w:highlight w:val="none"/>
              </w:rPr>
              <w:t>应当报行政监管部门依法依规处理；对纸质投标保函</w:t>
            </w:r>
            <w:r>
              <w:rPr>
                <w:rFonts w:hint="eastAsia" w:ascii="宋体" w:hAnsi="宋体" w:cs="宋体"/>
                <w:szCs w:val="21"/>
                <w:highlight w:val="none"/>
              </w:rPr>
              <w:t>弄虚作假的，</w:t>
            </w:r>
            <w:r>
              <w:rPr>
                <w:rFonts w:hint="eastAsia" w:ascii="宋体" w:hAnsi="宋体" w:cs="宋体"/>
                <w:kern w:val="0"/>
                <w:szCs w:val="21"/>
                <w:highlight w:val="none"/>
              </w:rPr>
              <w:t>应当报行政监管部门和公安机关依法依规处理。</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二、纸质投标保函的退还、注销</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招标人应当在法定时间内确定中标人，向中标人发出中标通知书，同时向除中标候选人以外的其他投标人退还纸质投标保函正本并书面通知相关银行本项目准予提前注销纸质投标保函。具体注销事宜由投标人与银行协商。</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招标人应在法定时间内和中标人签订合同，并同时书面通知相关银行向中标人和其他中标候选人注销纸质投标保函。具体注销事宜由投标人与银行协商。</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3.6.1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是否</w:t>
            </w:r>
            <w:r>
              <w:rPr>
                <w:rFonts w:hint="eastAsia" w:ascii="宋体" w:hAnsi="宋体" w:cs="宋体"/>
                <w:spacing w:val="-2"/>
                <w:kern w:val="0"/>
                <w:szCs w:val="21"/>
                <w:highlight w:val="none"/>
              </w:rPr>
              <w:t>允</w:t>
            </w:r>
            <w:r>
              <w:rPr>
                <w:rFonts w:hint="eastAsia" w:ascii="宋体" w:hAnsi="宋体" w:cs="宋体"/>
                <w:kern w:val="0"/>
                <w:szCs w:val="21"/>
                <w:highlight w:val="none"/>
              </w:rPr>
              <w:t>许</w:t>
            </w:r>
            <w:r>
              <w:rPr>
                <w:rFonts w:hint="eastAsia" w:ascii="宋体" w:hAnsi="宋体" w:cs="宋体"/>
                <w:spacing w:val="-2"/>
                <w:kern w:val="0"/>
                <w:szCs w:val="21"/>
                <w:highlight w:val="none"/>
              </w:rPr>
              <w:t>递</w:t>
            </w:r>
            <w:r>
              <w:rPr>
                <w:rFonts w:hint="eastAsia" w:ascii="宋体" w:hAnsi="宋体" w:cs="宋体"/>
                <w:kern w:val="0"/>
                <w:szCs w:val="21"/>
                <w:highlight w:val="none"/>
              </w:rPr>
              <w:t>交</w:t>
            </w:r>
            <w:r>
              <w:rPr>
                <w:rFonts w:hint="eastAsia" w:ascii="宋体" w:hAnsi="宋体" w:cs="宋体"/>
                <w:spacing w:val="-2"/>
                <w:kern w:val="0"/>
                <w:szCs w:val="21"/>
                <w:highlight w:val="none"/>
              </w:rPr>
              <w:t>备</w:t>
            </w:r>
            <w:r>
              <w:rPr>
                <w:rFonts w:hint="eastAsia" w:ascii="宋体" w:hAnsi="宋体" w:cs="宋体"/>
                <w:kern w:val="0"/>
                <w:szCs w:val="21"/>
                <w:highlight w:val="none"/>
              </w:rPr>
              <w:t>选</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方</w:t>
            </w:r>
            <w:r>
              <w:rPr>
                <w:rFonts w:hint="eastAsia" w:ascii="宋体" w:hAnsi="宋体" w:cs="宋体"/>
                <w:kern w:val="0"/>
                <w:szCs w:val="21"/>
                <w:highlight w:val="none"/>
              </w:rPr>
              <w:t>案</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不允许</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3.7.3</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58"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ind w:firstLine="420" w:firstLineChars="200"/>
              <w:rPr>
                <w:rFonts w:ascii="宋体" w:hAnsi="宋体"/>
                <w:szCs w:val="21"/>
                <w:highlight w:val="none"/>
              </w:rPr>
            </w:pPr>
            <w:r>
              <w:rPr>
                <w:rFonts w:hint="eastAsia" w:ascii="宋体" w:hAnsi="宋体"/>
                <w:szCs w:val="21"/>
                <w:highlight w:val="none"/>
              </w:rPr>
              <w:t>投标文件应用不褪色的材料书写或打印，并由投标人的法定代表人或其委托代理人在招标文件规定的位置按招标文件要求签名或盖章、盖单位公章。委托代理人签名的，投标文件应附法定代表人签署的授权委托书。投标文件应尽量避免涂改、行间插字或删除。如果出现上述情况，改动之处应加盖单位公章或由投标人的法定代表人或其授权的代理人签名确认。</w:t>
            </w:r>
          </w:p>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szCs w:val="21"/>
                <w:highlight w:val="none"/>
              </w:rPr>
              <w:t>未按上述规定执行的，交由评标委员会作否决投标处理。</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cs="宋体"/>
                <w:color w:val="auto"/>
                <w:sz w:val="21"/>
                <w:szCs w:val="21"/>
                <w:highlight w:val="none"/>
              </w:rPr>
            </w:pPr>
            <w:r>
              <w:rPr>
                <w:rFonts w:hAnsi="宋体"/>
                <w:bCs/>
                <w:color w:val="auto"/>
                <w:sz w:val="21"/>
                <w:szCs w:val="21"/>
                <w:highlight w:val="none"/>
              </w:rPr>
              <w:t>3.7.</w:t>
            </w:r>
            <w:r>
              <w:rPr>
                <w:rFonts w:hint="eastAsia" w:hAnsi="宋体"/>
                <w:bCs/>
                <w:color w:val="auto"/>
                <w:sz w:val="21"/>
                <w:szCs w:val="21"/>
                <w:highlight w:val="none"/>
              </w:rPr>
              <w:t>4</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cs="宋体"/>
                <w:color w:val="auto"/>
                <w:sz w:val="21"/>
                <w:szCs w:val="21"/>
                <w:highlight w:val="none"/>
              </w:rPr>
            </w:pPr>
            <w:r>
              <w:rPr>
                <w:rFonts w:hint="eastAsia" w:hAnsi="宋体" w:eastAsia="宋体" w:cs="宋体"/>
                <w:bCs/>
                <w:color w:val="auto"/>
                <w:sz w:val="21"/>
                <w:szCs w:val="21"/>
                <w:highlight w:val="none"/>
              </w:rPr>
              <w:t>投标文件的份数</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lang w:val="en-GB"/>
              </w:rPr>
              <w:t>1</w:t>
            </w:r>
            <w:r>
              <w:rPr>
                <w:rFonts w:hint="eastAsia" w:ascii="宋体" w:hAnsi="宋体" w:cs="宋体"/>
                <w:bCs/>
                <w:highlight w:val="none"/>
              </w:rPr>
              <w:t>.</w:t>
            </w:r>
            <w:r>
              <w:rPr>
                <w:rFonts w:hint="eastAsia" w:ascii="宋体" w:hAnsi="宋体" w:cs="宋体"/>
                <w:bCs/>
                <w:highlight w:val="none"/>
                <w:lang w:val="en-GB"/>
              </w:rPr>
              <w:t>投标人应准备投标文件的正本1份，副本</w:t>
            </w:r>
            <w:r>
              <w:rPr>
                <w:rFonts w:hint="eastAsia" w:ascii="宋体" w:hAnsi="宋体" w:cs="宋体"/>
                <w:bCs/>
                <w:highlight w:val="none"/>
              </w:rPr>
              <w:t>1</w:t>
            </w:r>
            <w:r>
              <w:rPr>
                <w:rFonts w:hint="eastAsia" w:ascii="宋体" w:hAnsi="宋体" w:cs="宋体"/>
                <w:bCs/>
                <w:highlight w:val="none"/>
                <w:lang w:val="en-GB"/>
              </w:rPr>
              <w:t>份，并提供</w:t>
            </w:r>
            <w:r>
              <w:rPr>
                <w:rFonts w:hint="eastAsia" w:ascii="宋体" w:hAnsi="宋体" w:cs="宋体"/>
                <w:bCs/>
                <w:highlight w:val="none"/>
              </w:rPr>
              <w:t>3</w:t>
            </w:r>
            <w:r>
              <w:rPr>
                <w:rFonts w:hint="eastAsia" w:ascii="宋体" w:hAnsi="宋体" w:cs="宋体"/>
                <w:bCs/>
                <w:highlight w:val="none"/>
                <w:lang w:val="en-GB"/>
              </w:rPr>
              <w:t>个投标文件的</w:t>
            </w:r>
            <w:r>
              <w:rPr>
                <w:rFonts w:hint="eastAsia" w:ascii="宋体" w:hAnsi="宋体" w:cs="宋体"/>
                <w:bCs/>
                <w:highlight w:val="none"/>
              </w:rPr>
              <w:t>U盘</w:t>
            </w:r>
            <w:r>
              <w:rPr>
                <w:rFonts w:hint="eastAsia" w:ascii="宋体" w:hAnsi="宋体" w:cs="宋体"/>
                <w:bCs/>
                <w:highlight w:val="none"/>
                <w:lang w:val="en-GB"/>
              </w:rPr>
              <w:t>（</w:t>
            </w:r>
            <w:r>
              <w:rPr>
                <w:rFonts w:hint="eastAsia" w:ascii="宋体" w:hAnsi="宋体" w:cs="宋体"/>
                <w:bCs/>
                <w:highlight w:val="none"/>
              </w:rPr>
              <w:t>U盘须加盖单位公章</w:t>
            </w:r>
            <w:r>
              <w:rPr>
                <w:rFonts w:hint="eastAsia" w:ascii="宋体" w:hAnsi="宋体" w:cs="宋体"/>
                <w:bCs/>
                <w:highlight w:val="none"/>
                <w:lang w:val="en-GB"/>
              </w:rPr>
              <w:t>）；在每一份投标文件上要明确注明“正本”和“副本”，一旦正本和副本有不一致之处，以正本为准。</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lang w:val="en-GB"/>
              </w:rPr>
              <w:t>2</w:t>
            </w:r>
            <w:r>
              <w:rPr>
                <w:rFonts w:hint="eastAsia" w:ascii="宋体" w:hAnsi="宋体" w:cs="宋体"/>
                <w:bCs/>
                <w:highlight w:val="none"/>
              </w:rPr>
              <w:t>.</w:t>
            </w:r>
            <w:r>
              <w:rPr>
                <w:rFonts w:hint="eastAsia" w:ascii="宋体" w:hAnsi="宋体" w:cs="宋体"/>
                <w:bCs/>
                <w:highlight w:val="none"/>
                <w:lang w:val="en-GB"/>
              </w:rPr>
              <w:t>投标文件的正本和副本均应使用打印机打印或用不能轻易擦去且不易褪色的档案墨水书写，投标文件的副本也可用复印机复制。不论是书写、打印或复制，均应做到清晰、整洁、规范。</w:t>
            </w:r>
          </w:p>
          <w:p>
            <w:pPr>
              <w:adjustRightInd w:val="0"/>
              <w:snapToGrid w:val="0"/>
              <w:spacing w:afterLines="0" w:line="400" w:lineRule="exact"/>
              <w:ind w:firstLine="422" w:firstLineChars="200"/>
              <w:rPr>
                <w:rFonts w:hint="eastAsia" w:ascii="宋体" w:hAnsi="宋体" w:cs="宋体"/>
                <w:b/>
                <w:highlight w:val="none"/>
              </w:rPr>
            </w:pPr>
            <w:r>
              <w:rPr>
                <w:rFonts w:hint="eastAsia" w:ascii="宋体" w:hAnsi="宋体" w:cs="宋体"/>
                <w:b/>
                <w:highlight w:val="none"/>
              </w:rPr>
              <w:t>注：1.U盘加盖单位公章只是为了交易中心存档使用，不作为否决投标条件，请各投标人配合盖章。</w:t>
            </w:r>
          </w:p>
          <w:p>
            <w:pPr>
              <w:adjustRightInd w:val="0"/>
              <w:snapToGrid w:val="0"/>
              <w:spacing w:afterLines="0" w:line="400" w:lineRule="exact"/>
              <w:ind w:firstLine="422" w:firstLineChars="200"/>
              <w:rPr>
                <w:rFonts w:hint="eastAsia" w:ascii="宋体" w:hAnsi="宋体" w:cs="宋体"/>
                <w:b/>
                <w:bCs/>
                <w:szCs w:val="21"/>
                <w:highlight w:val="none"/>
              </w:rPr>
            </w:pPr>
            <w:r>
              <w:rPr>
                <w:rFonts w:hint="eastAsia" w:ascii="宋体" w:hAnsi="宋体" w:cs="宋体"/>
                <w:b/>
                <w:highlight w:val="none"/>
              </w:rPr>
              <w:t>2.中标后，中标人应按招标人要求的份数向招标人提供投标文件副本。</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cs="宋体"/>
                <w:highlight w:val="none"/>
              </w:rPr>
              <w:t>3.7.5</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cs="宋体"/>
                <w:highlight w:val="none"/>
              </w:rPr>
              <w:t>装订要求</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rPr>
                <w:rFonts w:hint="eastAsia" w:ascii="宋体" w:hAnsi="宋体" w:cs="宋体"/>
                <w:b/>
                <w:bCs/>
                <w:szCs w:val="21"/>
                <w:highlight w:val="none"/>
              </w:rPr>
            </w:pPr>
            <w:r>
              <w:rPr>
                <w:rFonts w:hint="eastAsia" w:ascii="宋体" w:hAnsi="宋体" w:cs="宋体"/>
                <w:bCs/>
                <w:highlight w:val="none"/>
                <w:lang w:val="en-GB"/>
              </w:rPr>
              <w:t>本</w:t>
            </w:r>
            <w:r>
              <w:rPr>
                <w:rFonts w:hint="eastAsia" w:ascii="宋体" w:hAnsi="宋体" w:cs="宋体"/>
                <w:bCs/>
                <w:highlight w:val="none"/>
              </w:rPr>
              <w:t>项目</w:t>
            </w:r>
            <w:r>
              <w:rPr>
                <w:rFonts w:hint="eastAsia" w:ascii="宋体" w:hAnsi="宋体" w:cs="宋体"/>
                <w:bCs/>
                <w:highlight w:val="none"/>
                <w:lang w:val="en-GB"/>
              </w:rPr>
              <w:t>技术部分采用明标评审，投标文件须装订成一册（</w:t>
            </w:r>
            <w:r>
              <w:rPr>
                <w:rFonts w:hint="eastAsia" w:ascii="宋体" w:hAnsi="宋体" w:cs="宋体"/>
                <w:bCs/>
                <w:highlight w:val="none"/>
              </w:rPr>
              <w:t>投标函部分、</w:t>
            </w:r>
            <w:r>
              <w:rPr>
                <w:rFonts w:hint="eastAsia" w:ascii="宋体" w:hAnsi="宋体" w:cs="宋体"/>
                <w:bCs/>
                <w:highlight w:val="none"/>
                <w:lang w:val="en-GB"/>
              </w:rPr>
              <w:t>资格审查部分、</w:t>
            </w:r>
            <w:r>
              <w:rPr>
                <w:rFonts w:hint="eastAsia" w:ascii="宋体" w:hAnsi="宋体" w:cs="宋体"/>
                <w:bCs/>
                <w:highlight w:val="none"/>
              </w:rPr>
              <w:t>商务部分、</w:t>
            </w:r>
            <w:r>
              <w:rPr>
                <w:rFonts w:hint="eastAsia" w:ascii="宋体" w:hAnsi="宋体" w:cs="宋体"/>
                <w:bCs/>
                <w:highlight w:val="none"/>
                <w:lang w:val="en-GB"/>
              </w:rPr>
              <w:t>技术部分顺序装订），并应编制目录，若装订过厚，也可分订成多册。</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4.1.1</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spacing w:afterLines="0" w:line="400" w:lineRule="exact"/>
              <w:jc w:val="center"/>
              <w:rPr>
                <w:rFonts w:hint="eastAsia"/>
                <w:sz w:val="21"/>
                <w:szCs w:val="21"/>
                <w:highlight w:val="none"/>
              </w:rPr>
            </w:pPr>
            <w:r>
              <w:rPr>
                <w:rFonts w:hint="eastAsia"/>
                <w:sz w:val="21"/>
                <w:szCs w:val="21"/>
                <w:highlight w:val="none"/>
              </w:rPr>
              <w:t>投标文件的密封</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1.投标文件袋使用投标人自备的“投标文件”袋（箱）。</w:t>
            </w:r>
          </w:p>
          <w:p>
            <w:pPr>
              <w:autoSpaceDE w:val="0"/>
              <w:autoSpaceDN w:val="0"/>
              <w:adjustRightInd w:val="0"/>
              <w:snapToGrid w:val="0"/>
              <w:spacing w:afterLines="0" w:line="4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 xml:space="preserve">2.《投标文件》与电子版文件一起装入“投标文件”袋（箱）中，密封并在袋上加盖投标人单位公章。 </w:t>
            </w:r>
          </w:p>
          <w:p>
            <w:pPr>
              <w:autoSpaceDE w:val="0"/>
              <w:autoSpaceDN w:val="0"/>
              <w:adjustRightInd w:val="0"/>
              <w:snapToGrid w:val="0"/>
              <w:spacing w:afterLines="0" w:line="4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3.“投标文件”袋（箱）应按本表第4.1.2项的规定写明相应内容。</w:t>
            </w:r>
          </w:p>
          <w:p>
            <w:pPr>
              <w:autoSpaceDE w:val="0"/>
              <w:autoSpaceDN w:val="0"/>
              <w:adjustRightInd w:val="0"/>
              <w:snapToGrid w:val="0"/>
              <w:spacing w:afterLines="0" w:line="4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4.如果“投标文件”袋没有按本招标文件规定密封的，招标人或招标代理机构拒绝接收。</w:t>
            </w:r>
          </w:p>
          <w:p>
            <w:pPr>
              <w:autoSpaceDE w:val="0"/>
              <w:autoSpaceDN w:val="0"/>
              <w:adjustRightInd w:val="0"/>
              <w:snapToGrid w:val="0"/>
              <w:spacing w:afterLines="0" w:line="4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注：</w:t>
            </w:r>
          </w:p>
          <w:p>
            <w:pPr>
              <w:autoSpaceDE w:val="0"/>
              <w:autoSpaceDN w:val="0"/>
              <w:adjustRightInd w:val="0"/>
              <w:snapToGrid w:val="0"/>
              <w:spacing w:afterLines="0" w:line="4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（1）如投标文件较厚，上述投标文件不能装入相应的一个袋（箱）中，投标人可按上述要求增加投标文件袋（箱）。</w:t>
            </w:r>
          </w:p>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（2）投标文件袋可由投标人自制，也可采用盒（箱）装的形式，但需满足相关密封要求。</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4.1.2</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spacing w:val="-2"/>
                <w:kern w:val="0"/>
                <w:szCs w:val="21"/>
                <w:highlight w:val="none"/>
              </w:rPr>
            </w:pPr>
            <w:r>
              <w:rPr>
                <w:rFonts w:hint="eastAsia" w:ascii="宋体" w:hAnsi="宋体" w:cs="宋体"/>
                <w:kern w:val="0"/>
                <w:szCs w:val="21"/>
                <w:highlight w:val="none"/>
              </w:rPr>
              <w:t>封套</w:t>
            </w:r>
            <w:r>
              <w:rPr>
                <w:rFonts w:hint="eastAsia" w:ascii="宋体" w:hAnsi="宋体" w:cs="宋体"/>
                <w:spacing w:val="-2"/>
                <w:kern w:val="0"/>
                <w:szCs w:val="21"/>
                <w:highlight w:val="none"/>
              </w:rPr>
              <w:t>上</w:t>
            </w:r>
            <w:r>
              <w:rPr>
                <w:rFonts w:hint="eastAsia" w:ascii="宋体" w:hAnsi="宋体" w:cs="宋体"/>
                <w:kern w:val="0"/>
                <w:szCs w:val="21"/>
                <w:highlight w:val="none"/>
              </w:rPr>
              <w:t>应</w:t>
            </w:r>
            <w:r>
              <w:rPr>
                <w:rFonts w:hint="eastAsia" w:ascii="宋体" w:hAnsi="宋体" w:cs="宋体"/>
                <w:spacing w:val="-2"/>
                <w:kern w:val="0"/>
                <w:szCs w:val="21"/>
                <w:highlight w:val="none"/>
              </w:rPr>
              <w:t>载</w:t>
            </w:r>
            <w:r>
              <w:rPr>
                <w:rFonts w:hint="eastAsia" w:ascii="宋体" w:hAnsi="宋体" w:cs="宋体"/>
                <w:kern w:val="0"/>
                <w:szCs w:val="21"/>
                <w:highlight w:val="none"/>
              </w:rPr>
              <w:t>明</w:t>
            </w:r>
            <w:r>
              <w:rPr>
                <w:rFonts w:hint="eastAsia" w:ascii="宋体" w:hAnsi="宋体" w:cs="宋体"/>
                <w:spacing w:val="-2"/>
                <w:kern w:val="0"/>
                <w:szCs w:val="21"/>
                <w:highlight w:val="none"/>
              </w:rPr>
              <w:t>的</w:t>
            </w:r>
          </w:p>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信息</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应在“投标文件”大袋封套上写明如下内容：</w:t>
            </w:r>
          </w:p>
          <w:p>
            <w:pPr>
              <w:autoSpaceDE w:val="0"/>
              <w:autoSpaceDN w:val="0"/>
              <w:adjustRightInd w:val="0"/>
              <w:snapToGrid w:val="0"/>
              <w:spacing w:afterLines="0" w:line="400" w:lineRule="exact"/>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招标人名称：</w:t>
            </w:r>
            <w:r>
              <w:rPr>
                <w:rFonts w:hint="eastAsia" w:ascii="宋体" w:hAnsi="宋体" w:cs="宋体"/>
                <w:bCs/>
                <w:kern w:val="0"/>
                <w:szCs w:val="21"/>
                <w:highlight w:val="none"/>
                <w:u w:val="single"/>
              </w:rPr>
              <w:t xml:space="preserve">                       </w:t>
            </w:r>
          </w:p>
          <w:p>
            <w:pPr>
              <w:autoSpaceDE w:val="0"/>
              <w:autoSpaceDN w:val="0"/>
              <w:adjustRightInd w:val="0"/>
              <w:snapToGrid w:val="0"/>
              <w:spacing w:afterLines="0" w:line="40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rPr>
              <w:t>投标人名称：</w:t>
            </w:r>
            <w:r>
              <w:rPr>
                <w:rFonts w:hint="eastAsia" w:ascii="宋体" w:hAnsi="宋体" w:cs="宋体"/>
                <w:bCs/>
                <w:kern w:val="0"/>
                <w:szCs w:val="21"/>
                <w:highlight w:val="none"/>
                <w:u w:val="single"/>
              </w:rPr>
              <w:t xml:space="preserve">                       </w:t>
            </w:r>
          </w:p>
          <w:p>
            <w:pPr>
              <w:autoSpaceDE w:val="0"/>
              <w:autoSpaceDN w:val="0"/>
              <w:adjustRightInd w:val="0"/>
              <w:snapToGrid w:val="0"/>
              <w:spacing w:afterLines="0" w:line="400" w:lineRule="exact"/>
              <w:ind w:firstLine="420" w:firstLineChars="200"/>
              <w:rPr>
                <w:rFonts w:hint="eastAsia" w:ascii="宋体" w:hAnsi="宋体" w:cs="宋体"/>
                <w:bCs/>
                <w:kern w:val="0"/>
                <w:szCs w:val="21"/>
                <w:highlight w:val="none"/>
              </w:rPr>
            </w:pPr>
            <w:r>
              <w:rPr>
                <w:rFonts w:hint="eastAsia" w:ascii="宋体" w:hAnsi="宋体" w:cs="宋体"/>
                <w:bCs/>
                <w:kern w:val="0"/>
                <w:szCs w:val="21"/>
                <w:highlight w:val="none"/>
                <w:u w:val="single"/>
              </w:rPr>
              <w:t xml:space="preserve">      (项目名称)          </w:t>
            </w:r>
            <w:r>
              <w:rPr>
                <w:rFonts w:hint="eastAsia" w:ascii="宋体" w:hAnsi="宋体" w:cs="宋体"/>
                <w:bCs/>
                <w:kern w:val="0"/>
                <w:szCs w:val="21"/>
                <w:highlight w:val="none"/>
              </w:rPr>
              <w:t>投标文件</w:t>
            </w:r>
          </w:p>
          <w:p>
            <w:pPr>
              <w:tabs>
                <w:tab w:val="left" w:pos="720"/>
                <w:tab w:val="left" w:pos="1360"/>
                <w:tab w:val="left" w:pos="1980"/>
                <w:tab w:val="left" w:pos="2620"/>
              </w:tabs>
              <w:autoSpaceDE w:val="0"/>
              <w:autoSpaceDN w:val="0"/>
              <w:adjustRightInd w:val="0"/>
              <w:snapToGrid w:val="0"/>
              <w:spacing w:afterLines="0" w:line="400" w:lineRule="exact"/>
              <w:ind w:firstLine="210" w:firstLineChars="100"/>
              <w:jc w:val="left"/>
              <w:rPr>
                <w:rFonts w:hint="eastAsia" w:ascii="宋体" w:hAnsi="宋体" w:cs="宋体"/>
                <w:kern w:val="0"/>
                <w:szCs w:val="21"/>
                <w:highlight w:val="none"/>
              </w:rPr>
            </w:pPr>
            <w:r>
              <w:rPr>
                <w:rFonts w:hint="eastAsia" w:ascii="宋体" w:hAnsi="宋体" w:cs="宋体"/>
                <w:bCs/>
                <w:kern w:val="0"/>
                <w:szCs w:val="21"/>
                <w:highlight w:val="none"/>
              </w:rPr>
              <w:t>在</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月</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日</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时</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分前不得开启。</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tabs>
                <w:tab w:val="left" w:pos="1050"/>
                <w:tab w:val="left" w:pos="1470"/>
              </w:tabs>
              <w:snapToGrid w:val="0"/>
              <w:spacing w:afterLines="0" w:line="400" w:lineRule="exact"/>
              <w:jc w:val="center"/>
              <w:rPr>
                <w:rFonts w:hint="eastAsia" w:ascii="宋体" w:hAnsi="宋体" w:cs="宋体"/>
                <w:kern w:val="0"/>
                <w:szCs w:val="21"/>
                <w:highlight w:val="none"/>
              </w:rPr>
            </w:pPr>
            <w:r>
              <w:rPr>
                <w:rFonts w:hint="eastAsia" w:ascii="宋体" w:hAnsi="宋体" w:cs="宋体"/>
                <w:highlight w:val="none"/>
                <w:lang w:val="en-GB"/>
              </w:rPr>
              <w:t>4.2.2</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left" w:pos="1050"/>
                <w:tab w:val="left" w:pos="1470"/>
              </w:tabs>
              <w:snapToGrid w:val="0"/>
              <w:spacing w:afterLines="0" w:line="400" w:lineRule="exact"/>
              <w:jc w:val="center"/>
              <w:rPr>
                <w:rFonts w:hint="eastAsia" w:ascii="宋体" w:hAnsi="宋体" w:cs="宋体"/>
                <w:kern w:val="0"/>
                <w:szCs w:val="21"/>
                <w:highlight w:val="none"/>
              </w:rPr>
            </w:pPr>
            <w:r>
              <w:rPr>
                <w:rFonts w:hint="eastAsia" w:ascii="宋体" w:hAnsi="宋体" w:cs="宋体"/>
                <w:highlight w:val="none"/>
                <w:lang w:val="en-GB"/>
              </w:rPr>
              <w:t>递交投标文件地点</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bCs/>
                <w:szCs w:val="21"/>
                <w:highlight w:val="none"/>
              </w:rPr>
              <w:t>重庆市公共资源交易中心开标区（具体请登陆</w:t>
            </w:r>
            <w:r>
              <w:rPr>
                <w:rFonts w:hint="eastAsia" w:ascii="宋体" w:hAnsi="宋体" w:cs="宋体"/>
                <w:bCs/>
                <w:szCs w:val="21"/>
                <w:highlight w:val="none"/>
                <w:u w:val="single"/>
              </w:rPr>
              <w:t>重庆市公共资源交易网（www.cqggzy.com）</w:t>
            </w:r>
            <w:r>
              <w:rPr>
                <w:rFonts w:hint="eastAsia" w:ascii="宋体" w:hAnsi="宋体" w:cs="宋体"/>
                <w:bCs/>
                <w:szCs w:val="21"/>
                <w:highlight w:val="none"/>
              </w:rPr>
              <w:t>查询或递交文件当日见交易中心大厅电子显示屏）。</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4.2.3</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文</w:t>
            </w:r>
            <w:r>
              <w:rPr>
                <w:rFonts w:hint="eastAsia" w:ascii="宋体" w:hAnsi="宋体" w:cs="宋体"/>
                <w:kern w:val="0"/>
                <w:szCs w:val="21"/>
                <w:highlight w:val="none"/>
              </w:rPr>
              <w:t>件</w:t>
            </w:r>
            <w:r>
              <w:rPr>
                <w:rFonts w:hint="eastAsia" w:ascii="宋体" w:hAnsi="宋体" w:cs="宋体"/>
                <w:spacing w:val="-2"/>
                <w:kern w:val="0"/>
                <w:szCs w:val="21"/>
                <w:highlight w:val="none"/>
              </w:rPr>
              <w:t>是</w:t>
            </w:r>
            <w:r>
              <w:rPr>
                <w:rFonts w:hint="eastAsia" w:ascii="宋体" w:hAnsi="宋体" w:cs="宋体"/>
                <w:kern w:val="0"/>
                <w:szCs w:val="21"/>
                <w:highlight w:val="none"/>
              </w:rPr>
              <w:t>否</w:t>
            </w:r>
            <w:r>
              <w:rPr>
                <w:rFonts w:hint="eastAsia" w:ascii="宋体" w:hAnsi="宋体" w:cs="宋体"/>
                <w:spacing w:val="-2"/>
                <w:kern w:val="0"/>
                <w:szCs w:val="21"/>
                <w:highlight w:val="none"/>
              </w:rPr>
              <w:t>退</w:t>
            </w:r>
            <w:r>
              <w:rPr>
                <w:rFonts w:hint="eastAsia" w:ascii="宋体" w:hAnsi="宋体" w:cs="宋体"/>
                <w:kern w:val="0"/>
                <w:szCs w:val="21"/>
                <w:highlight w:val="none"/>
              </w:rPr>
              <w:t>还</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kern w:val="0"/>
                <w:position w:val="-1"/>
                <w:szCs w:val="21"/>
                <w:highlight w:val="none"/>
              </w:rPr>
              <w:t>否</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cs="宋体"/>
                <w:color w:val="auto"/>
                <w:sz w:val="21"/>
                <w:szCs w:val="21"/>
                <w:highlight w:val="none"/>
              </w:rPr>
            </w:pPr>
            <w:r>
              <w:rPr>
                <w:rFonts w:hAnsi="宋体"/>
                <w:bCs/>
                <w:color w:val="auto"/>
                <w:sz w:val="21"/>
                <w:szCs w:val="21"/>
                <w:highlight w:val="none"/>
              </w:rPr>
              <w:t>5.1</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eastAsia="宋体" w:cs="宋体"/>
                <w:color w:val="auto"/>
                <w:sz w:val="21"/>
                <w:szCs w:val="21"/>
                <w:highlight w:val="none"/>
              </w:rPr>
            </w:pPr>
            <w:r>
              <w:rPr>
                <w:rFonts w:hint="eastAsia" w:hAnsi="宋体" w:eastAsia="宋体" w:cs="宋体"/>
                <w:bCs/>
                <w:color w:val="auto"/>
                <w:sz w:val="21"/>
                <w:szCs w:val="21"/>
                <w:highlight w:val="none"/>
              </w:rPr>
              <w:t>开标时间和地点</w:t>
            </w:r>
          </w:p>
        </w:tc>
        <w:tc>
          <w:tcPr>
            <w:tcW w:w="6458"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开标时间：同投标截止时间</w:t>
            </w:r>
          </w:p>
          <w:p>
            <w:pPr>
              <w:pStyle w:val="17"/>
              <w:snapToGrid w:val="0"/>
              <w:spacing w:afterLines="0" w:line="400" w:lineRule="exact"/>
              <w:ind w:firstLine="420" w:firstLineChars="200"/>
              <w:jc w:val="both"/>
              <w:rPr>
                <w:rFonts w:hint="eastAsia" w:hAnsi="宋体" w:eastAsia="宋体" w:cs="宋体"/>
                <w:color w:val="auto"/>
                <w:sz w:val="21"/>
                <w:szCs w:val="21"/>
                <w:highlight w:val="none"/>
              </w:rPr>
            </w:pPr>
            <w:r>
              <w:rPr>
                <w:rFonts w:hint="eastAsia" w:hAnsi="宋体" w:eastAsia="宋体" w:cs="宋体"/>
                <w:sz w:val="21"/>
                <w:szCs w:val="21"/>
                <w:highlight w:val="none"/>
              </w:rPr>
              <w:t>开标地点：</w:t>
            </w:r>
            <w:r>
              <w:rPr>
                <w:rFonts w:hint="eastAsia" w:hAnsi="宋体" w:eastAsia="宋体" w:cs="宋体"/>
                <w:bCs/>
                <w:sz w:val="21"/>
                <w:szCs w:val="21"/>
                <w:highlight w:val="none"/>
              </w:rPr>
              <w:t>重庆市公共资源交易中心开标室（具体请登陆</w:t>
            </w:r>
            <w:r>
              <w:rPr>
                <w:rFonts w:hint="eastAsia" w:hAnsi="宋体" w:eastAsia="宋体" w:cs="宋体"/>
                <w:bCs/>
                <w:sz w:val="21"/>
                <w:szCs w:val="21"/>
                <w:highlight w:val="none"/>
                <w:u w:val="single"/>
              </w:rPr>
              <w:t>重庆市公共资源交易网（www.cqggzy.com）</w:t>
            </w:r>
            <w:r>
              <w:rPr>
                <w:rFonts w:hint="eastAsia" w:hAnsi="宋体" w:eastAsia="宋体" w:cs="宋体"/>
                <w:bCs/>
                <w:sz w:val="21"/>
                <w:szCs w:val="21"/>
                <w:highlight w:val="none"/>
              </w:rPr>
              <w:t>查询或递交文件当日见交易中心大厅电子显示屏）。</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cs="宋体"/>
                <w:color w:val="auto"/>
                <w:sz w:val="21"/>
                <w:szCs w:val="21"/>
                <w:highlight w:val="none"/>
              </w:rPr>
            </w:pPr>
            <w:r>
              <w:rPr>
                <w:rFonts w:hint="eastAsia" w:hAnsi="宋体" w:cs="宋体"/>
                <w:bCs/>
                <w:color w:val="auto"/>
                <w:sz w:val="21"/>
                <w:szCs w:val="21"/>
                <w:highlight w:val="none"/>
              </w:rPr>
              <w:t>5.2</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cs="宋体"/>
                <w:color w:val="auto"/>
                <w:sz w:val="21"/>
                <w:szCs w:val="21"/>
                <w:highlight w:val="none"/>
              </w:rPr>
            </w:pPr>
            <w:r>
              <w:rPr>
                <w:rFonts w:hint="eastAsia" w:hAnsi="宋体" w:eastAsia="宋体" w:cs="宋体"/>
                <w:bCs/>
                <w:color w:val="auto"/>
                <w:sz w:val="21"/>
                <w:szCs w:val="21"/>
                <w:highlight w:val="none"/>
              </w:rPr>
              <w:t>开标程序</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lang w:val="en-GB"/>
              </w:rPr>
              <w:t>1. 宣布开标纪律；</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lang w:val="en-GB"/>
              </w:rPr>
              <w:t>2. 宣布开标人、唱标人、记录人、监标人等有关人员姓名；</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lang w:val="en-GB"/>
              </w:rPr>
              <w:t>3. 公布在投标截止时间前递交投标文件的投标人名称，并点名确认投标人是否派人到场；</w:t>
            </w:r>
          </w:p>
          <w:p>
            <w:pPr>
              <w:snapToGrid w:val="0"/>
              <w:spacing w:afterLines="0" w:line="400" w:lineRule="exact"/>
              <w:ind w:firstLine="420" w:firstLineChars="200"/>
              <w:jc w:val="left"/>
              <w:rPr>
                <w:rFonts w:hint="eastAsia" w:ascii="宋体" w:hAnsi="宋体" w:cs="宋体"/>
                <w:b/>
                <w:highlight w:val="none"/>
              </w:rPr>
            </w:pPr>
            <w:r>
              <w:rPr>
                <w:rFonts w:hint="eastAsia" w:ascii="宋体" w:hAnsi="宋体" w:cs="宋体"/>
                <w:bCs/>
                <w:highlight w:val="none"/>
                <w:lang w:val="en-GB"/>
              </w:rPr>
              <w:t xml:space="preserve">4. </w:t>
            </w:r>
            <w:r>
              <w:rPr>
                <w:rFonts w:hint="eastAsia" w:ascii="宋体" w:hAnsi="宋体" w:cs="宋体"/>
                <w:b/>
                <w:highlight w:val="none"/>
              </w:rPr>
              <w:t>核验参加开标会议的投标人的法定代表人或委托代理人本人身份证（原件）、被授权代理人的授权委托书（原件），若开标现场投标人代表身份核验无效，其将不被允许参加开标会，但不影响其《投标文件》的有效性。其无条件接受开标结果。</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snapToGrid w:val="0"/>
                <w:highlight w:val="none"/>
              </w:rPr>
              <w:t>注：法定代表人参加投标活动的不需要授权委托书，只需提供法定代表人身份证明；非法定代表人参加投标活动的除提供法定代表人身份证明外还须提供授权委托书。</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rPr>
              <w:t>5</w:t>
            </w:r>
            <w:r>
              <w:rPr>
                <w:rFonts w:hint="eastAsia" w:ascii="宋体" w:hAnsi="宋体" w:cs="宋体"/>
                <w:bCs/>
                <w:highlight w:val="none"/>
                <w:lang w:val="en-GB"/>
              </w:rPr>
              <w:t>. 汇总投标保证金交纳情况</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rPr>
              <w:t>5</w:t>
            </w:r>
            <w:r>
              <w:rPr>
                <w:rFonts w:hint="eastAsia" w:ascii="宋体" w:hAnsi="宋体" w:cs="宋体"/>
                <w:bCs/>
                <w:highlight w:val="none"/>
                <w:lang w:val="en-GB"/>
              </w:rPr>
              <w:t>.1 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rPr>
              <w:t>5</w:t>
            </w:r>
            <w:r>
              <w:rPr>
                <w:rFonts w:hint="eastAsia" w:ascii="宋体" w:hAnsi="宋体" w:cs="宋体"/>
                <w:bCs/>
                <w:highlight w:val="none"/>
                <w:lang w:val="en-GB"/>
              </w:rPr>
              <w:t>.2 展示以电子转账方式递交投标保证金的情况，展示内容应至少包含投标人名称、金额、投标保证金打入指定账户的时间等，异常情况在开标记录表“异常情况”栏中记录并交由评标委员会评审。</w:t>
            </w:r>
          </w:p>
          <w:p>
            <w:pPr>
              <w:adjustRightInd w:val="0"/>
              <w:snapToGrid w:val="0"/>
              <w:spacing w:afterLines="0" w:line="400" w:lineRule="exact"/>
              <w:ind w:firstLine="420" w:firstLineChars="200"/>
              <w:rPr>
                <w:rFonts w:hint="eastAsia" w:ascii="宋体" w:hAnsi="宋体" w:cs="宋体"/>
                <w:bCs/>
                <w:highlight w:val="none"/>
              </w:rPr>
            </w:pPr>
            <w:r>
              <w:rPr>
                <w:rFonts w:hint="eastAsia" w:ascii="宋体" w:hAnsi="宋体" w:cs="宋体"/>
                <w:szCs w:val="21"/>
                <w:highlight w:val="none"/>
              </w:rPr>
              <w:t>5.3 展示以纸质投标保函方式递交投标保证金的情况，并记录在“纸质投标保函递交情况一览表”中，异常情况在开标记录表“异常情况”栏中记录。</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rPr>
              <w:t>5</w:t>
            </w:r>
            <w:r>
              <w:rPr>
                <w:rFonts w:hint="eastAsia" w:ascii="宋体" w:hAnsi="宋体" w:cs="宋体"/>
                <w:bCs/>
                <w:highlight w:val="none"/>
                <w:lang w:val="en-GB"/>
              </w:rPr>
              <w:t>.</w:t>
            </w:r>
            <w:r>
              <w:rPr>
                <w:rFonts w:hint="eastAsia" w:ascii="宋体" w:hAnsi="宋体" w:cs="宋体"/>
                <w:bCs/>
                <w:highlight w:val="none"/>
              </w:rPr>
              <w:t>4</w:t>
            </w:r>
            <w:r>
              <w:rPr>
                <w:rFonts w:hint="eastAsia" w:ascii="宋体" w:hAnsi="宋体" w:cs="宋体"/>
                <w:bCs/>
                <w:highlight w:val="none"/>
                <w:lang w:val="en-GB"/>
              </w:rPr>
              <w:t xml:space="preserve"> 打印所有投标人的投标保证金交纳情況，并由招标人代表、监标人、记录人签名确认。</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lang w:val="en-GB"/>
              </w:rPr>
              <w:t>6.</w:t>
            </w:r>
            <w:r>
              <w:rPr>
                <w:rFonts w:hint="eastAsia" w:ascii="宋体" w:hAnsi="宋体" w:cs="宋体"/>
                <w:szCs w:val="21"/>
                <w:highlight w:val="none"/>
              </w:rPr>
              <w:t>投标文件的密封检查：投标人可对自己的投标文件封装情况进行检查，以确认其投标文件密封完好。</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rPr>
              <w:t>7</w:t>
            </w:r>
            <w:r>
              <w:rPr>
                <w:rFonts w:hint="eastAsia" w:ascii="宋体" w:hAnsi="宋体" w:cs="宋体"/>
                <w:bCs/>
                <w:highlight w:val="none"/>
                <w:lang w:val="en-GB"/>
              </w:rPr>
              <w:t>.开标顺序：随机开启</w:t>
            </w:r>
            <w:r>
              <w:rPr>
                <w:rFonts w:hint="eastAsia" w:ascii="宋体" w:hAnsi="宋体" w:cs="宋体"/>
                <w:bCs/>
                <w:highlight w:val="none"/>
                <w:lang w:val="en-GB" w:eastAsia="zh-CN"/>
              </w:rPr>
              <w:t>。</w:t>
            </w:r>
            <w:r>
              <w:rPr>
                <w:rFonts w:hint="eastAsia" w:ascii="宋体" w:hAnsi="宋体" w:cs="宋体"/>
                <w:bCs/>
                <w:highlight w:val="none"/>
                <w:lang w:val="en-GB"/>
              </w:rPr>
              <w:t xml:space="preserve"> </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rPr>
              <w:t>8</w:t>
            </w:r>
            <w:r>
              <w:rPr>
                <w:rFonts w:hint="eastAsia" w:ascii="宋体" w:hAnsi="宋体" w:cs="宋体"/>
                <w:bCs/>
                <w:highlight w:val="none"/>
                <w:lang w:val="en-GB"/>
              </w:rPr>
              <w:t>.开启投标文件大袋，宣读投标人名称、投标报价及其他内容，并记录在案</w:t>
            </w:r>
            <w:r>
              <w:rPr>
                <w:rFonts w:hint="eastAsia" w:ascii="宋体" w:hAnsi="宋体" w:cs="宋体"/>
                <w:bCs/>
                <w:highlight w:val="none"/>
                <w:lang w:val="en-GB" w:eastAsia="zh-CN"/>
              </w:rPr>
              <w:t>。</w:t>
            </w:r>
          </w:p>
          <w:p>
            <w:pPr>
              <w:adjustRightInd w:val="0"/>
              <w:snapToGrid w:val="0"/>
              <w:spacing w:afterLines="0" w:line="400" w:lineRule="exact"/>
              <w:ind w:firstLine="420" w:firstLineChars="200"/>
              <w:rPr>
                <w:rFonts w:hint="eastAsia" w:ascii="宋体" w:hAnsi="宋体" w:cs="宋体"/>
                <w:bCs/>
                <w:highlight w:val="none"/>
                <w:lang w:val="en-GB"/>
              </w:rPr>
            </w:pPr>
            <w:r>
              <w:rPr>
                <w:rFonts w:hint="eastAsia" w:ascii="宋体" w:hAnsi="宋体" w:cs="宋体"/>
                <w:bCs/>
                <w:highlight w:val="none"/>
              </w:rPr>
              <w:t>9</w:t>
            </w:r>
            <w:r>
              <w:rPr>
                <w:rFonts w:hint="eastAsia" w:ascii="宋体" w:hAnsi="宋体" w:cs="宋体"/>
                <w:bCs/>
                <w:highlight w:val="none"/>
                <w:lang w:val="en-GB"/>
              </w:rPr>
              <w:t>.各投标人代表、招标人代表、监标人、记录人等有关人员在开标记录上签名。</w:t>
            </w:r>
          </w:p>
          <w:p>
            <w:pPr>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bCs/>
                <w:highlight w:val="none"/>
              </w:rPr>
              <w:t>10</w:t>
            </w:r>
            <w:r>
              <w:rPr>
                <w:rFonts w:hint="eastAsia" w:ascii="宋体" w:hAnsi="宋体" w:cs="宋体"/>
                <w:bCs/>
                <w:highlight w:val="none"/>
                <w:lang w:val="en-GB"/>
              </w:rPr>
              <w:t>.开标结束。</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6.1.1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评标</w:t>
            </w:r>
            <w:r>
              <w:rPr>
                <w:rFonts w:hint="eastAsia" w:ascii="宋体" w:hAnsi="宋体" w:cs="宋体"/>
                <w:spacing w:val="-2"/>
                <w:kern w:val="0"/>
                <w:szCs w:val="21"/>
                <w:highlight w:val="none"/>
              </w:rPr>
              <w:t>委</w:t>
            </w:r>
            <w:r>
              <w:rPr>
                <w:rFonts w:hint="eastAsia" w:ascii="宋体" w:hAnsi="宋体" w:cs="宋体"/>
                <w:kern w:val="0"/>
                <w:szCs w:val="21"/>
                <w:highlight w:val="none"/>
              </w:rPr>
              <w:t>员</w:t>
            </w:r>
            <w:r>
              <w:rPr>
                <w:rFonts w:hint="eastAsia" w:ascii="宋体" w:hAnsi="宋体" w:cs="宋体"/>
                <w:spacing w:val="-2"/>
                <w:kern w:val="0"/>
                <w:szCs w:val="21"/>
                <w:highlight w:val="none"/>
              </w:rPr>
              <w:t>会</w:t>
            </w:r>
            <w:r>
              <w:rPr>
                <w:rFonts w:hint="eastAsia" w:ascii="宋体" w:hAnsi="宋体" w:cs="宋体"/>
                <w:kern w:val="0"/>
                <w:szCs w:val="21"/>
                <w:highlight w:val="none"/>
              </w:rPr>
              <w:t>的</w:t>
            </w:r>
            <w:r>
              <w:rPr>
                <w:rFonts w:hint="eastAsia" w:ascii="宋体" w:hAnsi="宋体" w:cs="宋体"/>
                <w:spacing w:val="-2"/>
                <w:kern w:val="0"/>
                <w:szCs w:val="21"/>
                <w:highlight w:val="none"/>
              </w:rPr>
              <w:t>组</w:t>
            </w:r>
            <w:r>
              <w:rPr>
                <w:rFonts w:hint="eastAsia" w:ascii="宋体" w:hAnsi="宋体" w:cs="宋体"/>
                <w:kern w:val="0"/>
                <w:szCs w:val="21"/>
                <w:highlight w:val="none"/>
              </w:rPr>
              <w:t>建</w:t>
            </w:r>
          </w:p>
        </w:tc>
        <w:tc>
          <w:tcPr>
            <w:tcW w:w="6458" w:type="dxa"/>
            <w:tcBorders>
              <w:top w:val="single" w:color="000000" w:sz="4" w:space="0"/>
              <w:left w:val="single" w:color="000000" w:sz="4" w:space="0"/>
              <w:bottom w:val="single" w:color="000000" w:sz="4" w:space="0"/>
              <w:right w:val="single" w:color="000000" w:sz="4" w:space="0"/>
            </w:tcBorders>
            <w:vAlign w:val="center"/>
          </w:tcPr>
          <w:p>
            <w:pPr>
              <w:tabs>
                <w:tab w:val="left" w:pos="2300"/>
                <w:tab w:val="left" w:pos="2720"/>
                <w:tab w:val="left" w:pos="3820"/>
              </w:tabs>
              <w:autoSpaceDE w:val="0"/>
              <w:autoSpaceDN w:val="0"/>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cs="Arial"/>
                <w:bCs/>
                <w:highlight w:val="none"/>
                <w:lang w:val="en-GB"/>
              </w:rPr>
              <w:t>由招标人依法按相关法律法规和规范性文件依法组建。</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6.3.2</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highlight w:val="none"/>
              </w:rPr>
              <w:t>评标委员会推荐中标候选人</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推荐经评审综合得分由高到低排名前</w:t>
            </w:r>
            <w:r>
              <w:rPr>
                <w:rFonts w:hint="eastAsia" w:ascii="宋体" w:hAnsi="宋体" w:cs="宋体"/>
                <w:szCs w:val="21"/>
                <w:highlight w:val="none"/>
              </w:rPr>
              <w:t>1-3名</w:t>
            </w:r>
            <w:r>
              <w:rPr>
                <w:rFonts w:hint="eastAsia" w:ascii="宋体" w:hAnsi="宋体" w:cs="宋体"/>
                <w:kern w:val="0"/>
                <w:szCs w:val="21"/>
                <w:highlight w:val="none"/>
              </w:rPr>
              <w:t>为中标候选人。</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7.1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中标</w:t>
            </w:r>
            <w:r>
              <w:rPr>
                <w:rFonts w:hint="eastAsia" w:ascii="宋体" w:hAnsi="宋体" w:cs="宋体"/>
                <w:spacing w:val="-2"/>
                <w:kern w:val="0"/>
                <w:szCs w:val="21"/>
                <w:highlight w:val="none"/>
              </w:rPr>
              <w:t>候</w:t>
            </w:r>
            <w:r>
              <w:rPr>
                <w:rFonts w:hint="eastAsia" w:ascii="宋体" w:hAnsi="宋体" w:cs="宋体"/>
                <w:kern w:val="0"/>
                <w:szCs w:val="21"/>
                <w:highlight w:val="none"/>
              </w:rPr>
              <w:t>选</w:t>
            </w:r>
            <w:r>
              <w:rPr>
                <w:rFonts w:hint="eastAsia" w:ascii="宋体" w:hAnsi="宋体" w:cs="宋体"/>
                <w:spacing w:val="-2"/>
                <w:kern w:val="0"/>
                <w:szCs w:val="21"/>
                <w:highlight w:val="none"/>
              </w:rPr>
              <w:t>人</w:t>
            </w:r>
            <w:r>
              <w:rPr>
                <w:rFonts w:hint="eastAsia" w:ascii="宋体" w:hAnsi="宋体" w:cs="宋体"/>
                <w:kern w:val="0"/>
                <w:szCs w:val="21"/>
                <w:highlight w:val="none"/>
              </w:rPr>
              <w:t>公</w:t>
            </w:r>
            <w:r>
              <w:rPr>
                <w:rFonts w:hint="eastAsia" w:ascii="宋体" w:hAnsi="宋体" w:cs="宋体"/>
                <w:spacing w:val="-2"/>
                <w:kern w:val="0"/>
                <w:szCs w:val="21"/>
                <w:highlight w:val="none"/>
              </w:rPr>
              <w:t>示</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szCs w:val="21"/>
                <w:highlight w:val="none"/>
              </w:rPr>
            </w:pPr>
            <w:r>
              <w:rPr>
                <w:rFonts w:hint="eastAsia" w:cs="Arial"/>
                <w:bCs/>
                <w:highlight w:val="none"/>
                <w:lang w:val="en-GB"/>
              </w:rPr>
              <w:t>中标结果将在《中国招标投标公共服务平台》和《重庆市公共资源交易网》公示三日，请各投标单位自行查询。公示期结束没有收到在本次招投标过程中有违法行为投诉或相关质疑、或投诉质疑不成立的，招标人将按规定发出中标通知书。</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cs="宋体"/>
                <w:highlight w:val="none"/>
              </w:rPr>
              <w:t>7.2</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cs="宋体"/>
                <w:highlight w:val="none"/>
              </w:rPr>
              <w:t>评标结果异议提交渠道</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bCs/>
                <w:highlight w:val="none"/>
                <w:lang w:val="en-GB"/>
              </w:rPr>
            </w:pPr>
            <w:r>
              <w:rPr>
                <w:rFonts w:hint="eastAsia" w:ascii="宋体" w:hAnsi="宋体" w:cs="宋体"/>
                <w:bCs/>
                <w:highlight w:val="none"/>
                <w:lang w:val="en-GB"/>
              </w:rPr>
              <w:t>对结果的异议应按相关要求向招标人（重庆机场集团有限公司）和监督部门（重庆机场集团有限公司审计法务部）同时提交。</w:t>
            </w:r>
          </w:p>
          <w:p>
            <w:pPr>
              <w:autoSpaceDE w:val="0"/>
              <w:autoSpaceDN w:val="0"/>
              <w:adjustRightInd w:val="0"/>
              <w:snapToGrid w:val="0"/>
              <w:spacing w:afterLines="0" w:line="400" w:lineRule="exact"/>
              <w:ind w:firstLine="420" w:firstLineChars="200"/>
              <w:jc w:val="left"/>
              <w:rPr>
                <w:rFonts w:hint="eastAsia" w:ascii="宋体" w:hAnsi="宋体" w:cs="宋体"/>
                <w:bCs/>
                <w:highlight w:val="none"/>
                <w:lang w:val="en-GB"/>
              </w:rPr>
            </w:pPr>
            <w:r>
              <w:rPr>
                <w:rFonts w:hint="eastAsia" w:ascii="宋体" w:hAnsi="宋体" w:cs="宋体"/>
                <w:bCs/>
                <w:highlight w:val="none"/>
                <w:lang w:val="en-GB"/>
              </w:rPr>
              <w:t>招标人：重庆机场集团有限公司</w:t>
            </w:r>
          </w:p>
          <w:p>
            <w:pPr>
              <w:autoSpaceDE w:val="0"/>
              <w:autoSpaceDN w:val="0"/>
              <w:adjustRightInd w:val="0"/>
              <w:snapToGrid w:val="0"/>
              <w:spacing w:afterLines="0" w:line="400" w:lineRule="exact"/>
              <w:ind w:firstLine="420" w:firstLineChars="200"/>
              <w:jc w:val="left"/>
              <w:rPr>
                <w:rFonts w:hint="eastAsia" w:ascii="宋体" w:hAnsi="宋体" w:cs="宋体"/>
                <w:bCs/>
                <w:highlight w:val="none"/>
                <w:lang w:val="en-GB"/>
              </w:rPr>
            </w:pPr>
            <w:r>
              <w:rPr>
                <w:rFonts w:hint="eastAsia" w:ascii="宋体" w:hAnsi="宋体" w:cs="宋体"/>
                <w:bCs/>
                <w:highlight w:val="none"/>
                <w:lang w:val="en-GB"/>
              </w:rPr>
              <w:t>地址：重庆市渝北区机场东二路19号重庆机场集团有限公司办公楼6010办公室</w:t>
            </w:r>
          </w:p>
          <w:p>
            <w:pPr>
              <w:autoSpaceDE w:val="0"/>
              <w:autoSpaceDN w:val="0"/>
              <w:adjustRightInd w:val="0"/>
              <w:snapToGrid w:val="0"/>
              <w:spacing w:afterLines="0" w:line="400" w:lineRule="exact"/>
              <w:ind w:firstLine="420" w:firstLineChars="200"/>
              <w:jc w:val="left"/>
              <w:rPr>
                <w:rFonts w:hint="eastAsia" w:ascii="宋体" w:hAnsi="宋体" w:cs="宋体"/>
                <w:bCs/>
                <w:highlight w:val="none"/>
                <w:lang w:val="en-GB"/>
              </w:rPr>
            </w:pPr>
            <w:r>
              <w:rPr>
                <w:rFonts w:hint="eastAsia" w:ascii="宋体" w:hAnsi="宋体" w:cs="宋体"/>
                <w:bCs/>
                <w:highlight w:val="none"/>
                <w:lang w:val="en-GB"/>
              </w:rPr>
              <w:t>联系电话：023-67153238</w:t>
            </w:r>
          </w:p>
          <w:p>
            <w:pPr>
              <w:autoSpaceDE w:val="0"/>
              <w:autoSpaceDN w:val="0"/>
              <w:adjustRightInd w:val="0"/>
              <w:snapToGrid w:val="0"/>
              <w:spacing w:afterLines="0" w:line="400" w:lineRule="exact"/>
              <w:ind w:firstLine="420" w:firstLineChars="200"/>
              <w:jc w:val="left"/>
              <w:rPr>
                <w:rFonts w:hint="eastAsia" w:ascii="宋体" w:hAnsi="宋体" w:cs="宋体"/>
                <w:bCs/>
                <w:highlight w:val="none"/>
                <w:lang w:val="en-GB"/>
              </w:rPr>
            </w:pPr>
            <w:r>
              <w:rPr>
                <w:rFonts w:hint="eastAsia" w:ascii="宋体" w:hAnsi="宋体" w:cs="宋体"/>
                <w:bCs/>
                <w:highlight w:val="none"/>
                <w:lang w:val="en-GB"/>
              </w:rPr>
              <w:t>监督部门：重庆机场集团有限公司审计法务部</w:t>
            </w:r>
          </w:p>
          <w:p>
            <w:pPr>
              <w:autoSpaceDE w:val="0"/>
              <w:autoSpaceDN w:val="0"/>
              <w:adjustRightInd w:val="0"/>
              <w:snapToGrid w:val="0"/>
              <w:spacing w:afterLines="0" w:line="400" w:lineRule="exact"/>
              <w:ind w:firstLine="420" w:firstLineChars="200"/>
              <w:jc w:val="left"/>
              <w:rPr>
                <w:rFonts w:hint="eastAsia" w:ascii="宋体" w:hAnsi="宋体" w:cs="宋体"/>
                <w:bCs/>
                <w:highlight w:val="none"/>
                <w:lang w:val="en-GB"/>
              </w:rPr>
            </w:pPr>
            <w:r>
              <w:rPr>
                <w:rFonts w:hint="eastAsia" w:ascii="宋体" w:hAnsi="宋体" w:cs="宋体"/>
                <w:bCs/>
                <w:highlight w:val="none"/>
                <w:lang w:val="en-GB"/>
              </w:rPr>
              <w:t>地址：重庆市渝北区机场东二路19号重庆机场集团有限公司办公楼8008办公室</w:t>
            </w:r>
          </w:p>
          <w:p>
            <w:pPr>
              <w:autoSpaceDE w:val="0"/>
              <w:autoSpaceDN w:val="0"/>
              <w:adjustRightInd w:val="0"/>
              <w:snapToGrid w:val="0"/>
              <w:spacing w:afterLines="0" w:line="400" w:lineRule="exact"/>
              <w:ind w:firstLine="420" w:firstLineChars="200"/>
              <w:jc w:val="left"/>
              <w:rPr>
                <w:rFonts w:hint="eastAsia" w:ascii="宋体" w:hAnsi="宋体" w:cs="宋体"/>
                <w:highlight w:val="none"/>
              </w:rPr>
            </w:pPr>
            <w:r>
              <w:rPr>
                <w:rFonts w:hint="eastAsia" w:ascii="宋体" w:hAnsi="宋体" w:cs="宋体"/>
                <w:bCs/>
                <w:highlight w:val="none"/>
                <w:lang w:val="en-GB"/>
              </w:rPr>
              <w:t>联系电话：023-67153979。</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7.4</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是否</w:t>
            </w:r>
            <w:r>
              <w:rPr>
                <w:rFonts w:hint="eastAsia" w:ascii="宋体" w:hAnsi="宋体" w:cs="宋体"/>
                <w:spacing w:val="-2"/>
                <w:kern w:val="0"/>
                <w:szCs w:val="21"/>
                <w:highlight w:val="none"/>
              </w:rPr>
              <w:t>授</w:t>
            </w:r>
            <w:r>
              <w:rPr>
                <w:rFonts w:hint="eastAsia" w:ascii="宋体" w:hAnsi="宋体" w:cs="宋体"/>
                <w:kern w:val="0"/>
                <w:szCs w:val="21"/>
                <w:highlight w:val="none"/>
              </w:rPr>
              <w:t>权</w:t>
            </w:r>
            <w:r>
              <w:rPr>
                <w:rFonts w:hint="eastAsia" w:ascii="宋体" w:hAnsi="宋体" w:cs="宋体"/>
                <w:spacing w:val="-2"/>
                <w:kern w:val="0"/>
                <w:szCs w:val="21"/>
                <w:highlight w:val="none"/>
              </w:rPr>
              <w:t>评</w:t>
            </w:r>
            <w:r>
              <w:rPr>
                <w:rFonts w:hint="eastAsia" w:ascii="宋体" w:hAnsi="宋体" w:cs="宋体"/>
                <w:kern w:val="0"/>
                <w:szCs w:val="21"/>
                <w:highlight w:val="none"/>
              </w:rPr>
              <w:t>标</w:t>
            </w:r>
            <w:r>
              <w:rPr>
                <w:rFonts w:hint="eastAsia" w:ascii="宋体" w:hAnsi="宋体" w:cs="宋体"/>
                <w:spacing w:val="-2"/>
                <w:kern w:val="0"/>
                <w:szCs w:val="21"/>
                <w:highlight w:val="none"/>
              </w:rPr>
              <w:t>委</w:t>
            </w:r>
            <w:r>
              <w:rPr>
                <w:rFonts w:hint="eastAsia" w:ascii="宋体" w:hAnsi="宋体" w:cs="宋体"/>
                <w:kern w:val="0"/>
                <w:szCs w:val="21"/>
                <w:highlight w:val="none"/>
              </w:rPr>
              <w:t>员</w:t>
            </w:r>
            <w:r>
              <w:rPr>
                <w:rFonts w:hint="eastAsia" w:ascii="宋体" w:hAnsi="宋体" w:cs="宋体"/>
                <w:spacing w:val="-2"/>
                <w:kern w:val="0"/>
                <w:szCs w:val="21"/>
                <w:highlight w:val="none"/>
              </w:rPr>
              <w:t>会</w:t>
            </w:r>
            <w:r>
              <w:rPr>
                <w:rFonts w:hint="eastAsia" w:ascii="宋体" w:hAnsi="宋体" w:cs="宋体"/>
                <w:kern w:val="0"/>
                <w:szCs w:val="21"/>
                <w:highlight w:val="none"/>
              </w:rPr>
              <w:t>确</w:t>
            </w:r>
            <w:r>
              <w:rPr>
                <w:rFonts w:hint="eastAsia" w:ascii="宋体" w:hAnsi="宋体" w:cs="宋体"/>
                <w:spacing w:val="-2"/>
                <w:kern w:val="0"/>
                <w:szCs w:val="21"/>
                <w:highlight w:val="none"/>
              </w:rPr>
              <w:t>定</w:t>
            </w:r>
            <w:r>
              <w:rPr>
                <w:rFonts w:hint="eastAsia" w:ascii="宋体" w:hAnsi="宋体" w:cs="宋体"/>
                <w:kern w:val="0"/>
                <w:szCs w:val="21"/>
                <w:highlight w:val="none"/>
              </w:rPr>
              <w:t>中标人</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否，评标委员会按照得分由高到低的顺序依次推荐前1-3名为中标候选人。</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7.7.1</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ind w:hanging="8"/>
              <w:jc w:val="center"/>
              <w:rPr>
                <w:rFonts w:hint="eastAsia" w:ascii="宋体" w:hAnsi="宋体" w:cs="宋体"/>
                <w:kern w:val="0"/>
                <w:szCs w:val="21"/>
                <w:highlight w:val="none"/>
              </w:rPr>
            </w:pPr>
            <w:r>
              <w:rPr>
                <w:rFonts w:hint="eastAsia" w:ascii="宋体" w:hAnsi="宋体" w:cs="宋体"/>
                <w:kern w:val="0"/>
                <w:szCs w:val="21"/>
                <w:highlight w:val="none"/>
              </w:rPr>
              <w:t>履约</w:t>
            </w:r>
            <w:r>
              <w:rPr>
                <w:rFonts w:hint="eastAsia" w:ascii="宋体" w:hAnsi="宋体" w:cs="宋体"/>
                <w:spacing w:val="-2"/>
                <w:kern w:val="0"/>
                <w:szCs w:val="21"/>
                <w:highlight w:val="none"/>
              </w:rPr>
              <w:t>保</w:t>
            </w:r>
            <w:r>
              <w:rPr>
                <w:rFonts w:hint="eastAsia" w:ascii="宋体" w:hAnsi="宋体" w:cs="宋体"/>
                <w:kern w:val="0"/>
                <w:szCs w:val="21"/>
                <w:highlight w:val="none"/>
              </w:rPr>
              <w:t>证金</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担保形式：银行转账或银行保函；采用银行保函形式的，保函必须为不可撤销且见索即付。</w:t>
            </w:r>
          </w:p>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担保金额：合同总金额的5%</w:t>
            </w:r>
          </w:p>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中标通知书发出5个工作日内以转账方式交到招标人指定银行账户或将银行保函交</w:t>
            </w:r>
            <w:r>
              <w:rPr>
                <w:rFonts w:hint="eastAsia" w:ascii="宋体" w:hAnsi="宋体" w:cs="宋体"/>
                <w:bCs/>
                <w:color w:val="auto"/>
                <w:szCs w:val="21"/>
                <w:highlight w:val="none"/>
                <w:lang w:eastAsia="zh-CN"/>
              </w:rPr>
              <w:t>给</w:t>
            </w:r>
            <w:r>
              <w:rPr>
                <w:rFonts w:hint="eastAsia" w:ascii="宋体" w:hAnsi="宋体" w:cs="宋体"/>
                <w:bCs/>
                <w:color w:val="auto"/>
                <w:szCs w:val="21"/>
                <w:highlight w:val="none"/>
              </w:rPr>
              <w:t>招标人。中标单位在合同履约过程中，未按招标书承诺提供产品或服务、给招标人造成重大安全事故、因自身原因无法履行合同</w:t>
            </w:r>
            <w:r>
              <w:rPr>
                <w:rFonts w:hint="eastAsia" w:ascii="宋体" w:hAnsi="宋体" w:cs="宋体"/>
                <w:bCs/>
                <w:color w:val="auto"/>
                <w:szCs w:val="21"/>
                <w:highlight w:val="none"/>
                <w:lang w:eastAsia="zh-CN"/>
              </w:rPr>
              <w:t>严重影响主体项目推进</w:t>
            </w:r>
            <w:r>
              <w:rPr>
                <w:rFonts w:hint="eastAsia" w:ascii="宋体" w:hAnsi="宋体" w:cs="宋体"/>
                <w:bCs/>
                <w:color w:val="auto"/>
                <w:szCs w:val="21"/>
                <w:highlight w:val="none"/>
              </w:rPr>
              <w:t>等情况，招标人有权终止合同，且不退还履约保证金。</w:t>
            </w:r>
          </w:p>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 合同约定的内容全部完成，由乙方向甲方提出退还申请后无息退还或返还银行保函；至中标单位提供有效收据之日起，招标人在</w:t>
            </w:r>
            <w:r>
              <w:rPr>
                <w:rFonts w:hint="default" w:ascii="宋体" w:hAnsi="宋体" w:cs="宋体"/>
                <w:bCs/>
                <w:color w:val="auto"/>
                <w:szCs w:val="21"/>
                <w:highlight w:val="none"/>
                <w:lang w:val="en-US"/>
              </w:rPr>
              <w:t>30个工作日</w:t>
            </w:r>
            <w:r>
              <w:rPr>
                <w:rFonts w:hint="eastAsia" w:ascii="宋体" w:hAnsi="宋体" w:cs="宋体"/>
                <w:bCs/>
                <w:color w:val="auto"/>
                <w:szCs w:val="21"/>
                <w:highlight w:val="none"/>
              </w:rPr>
              <w:t>内将履约保证金或银行保函一次性无息全额返还。</w:t>
            </w:r>
          </w:p>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 招标人银行账号信息：</w:t>
            </w:r>
          </w:p>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户名：重庆机场集团有限公司</w:t>
            </w:r>
          </w:p>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账号：50001083800050000447</w:t>
            </w:r>
          </w:p>
          <w:p>
            <w:pPr>
              <w:adjustRightInd w:val="0"/>
              <w:snapToGrid w:val="0"/>
              <w:spacing w:after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开户行：建设银行重庆渝北机场支行</w:t>
            </w:r>
          </w:p>
          <w:p>
            <w:pPr>
              <w:adjustRightInd w:val="0"/>
              <w:snapToGrid w:val="0"/>
              <w:spacing w:afterLines="0" w:line="400" w:lineRule="exact"/>
              <w:ind w:firstLine="420" w:firstLineChars="200"/>
              <w:rPr>
                <w:rFonts w:hint="eastAsia" w:ascii="宋体" w:hAnsi="宋体" w:cs="宋体"/>
                <w:szCs w:val="21"/>
                <w:highlight w:val="none"/>
              </w:rPr>
            </w:pPr>
            <w:r>
              <w:rPr>
                <w:rFonts w:hint="eastAsia" w:ascii="宋体" w:hAnsi="宋体" w:cs="宋体"/>
                <w:bCs/>
                <w:color w:val="auto"/>
                <w:szCs w:val="21"/>
                <w:highlight w:val="none"/>
              </w:rPr>
              <w:t>注：履约保证金退还不计利息，按专用合同条款规定的违约扣除部分不予退还。</w:t>
            </w:r>
          </w:p>
        </w:tc>
      </w:tr>
      <w:tr>
        <w:tblPrEx>
          <w:tblLayout w:type="fixed"/>
          <w:tblCellMar>
            <w:top w:w="0" w:type="dxa"/>
            <w:left w:w="0" w:type="dxa"/>
            <w:bottom w:w="0" w:type="dxa"/>
            <w:right w:w="0" w:type="dxa"/>
          </w:tblCellMar>
        </w:tblPrEx>
        <w:trPr>
          <w:trHeight w:val="90"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8.1</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58"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ind w:firstLine="420" w:firstLineChars="200"/>
              <w:rPr>
                <w:rFonts w:ascii="宋体" w:hAnsi="宋体"/>
                <w:kern w:val="0"/>
                <w:szCs w:val="21"/>
                <w:highlight w:val="none"/>
              </w:rPr>
            </w:pPr>
            <w:r>
              <w:rPr>
                <w:rFonts w:ascii="宋体" w:hAnsi="宋体"/>
                <w:kern w:val="0"/>
                <w:szCs w:val="21"/>
                <w:highlight w:val="none"/>
              </w:rPr>
              <w:t>1.按投标人须知第8.1（1）执行；</w:t>
            </w:r>
          </w:p>
          <w:p>
            <w:pPr>
              <w:snapToGrid w:val="0"/>
              <w:spacing w:afterLines="0" w:line="400" w:lineRule="exact"/>
              <w:ind w:firstLine="420" w:firstLineChars="200"/>
              <w:rPr>
                <w:rFonts w:ascii="宋体" w:hAnsi="宋体"/>
                <w:kern w:val="0"/>
                <w:szCs w:val="21"/>
                <w:highlight w:val="none"/>
              </w:rPr>
            </w:pPr>
            <w:r>
              <w:rPr>
                <w:rFonts w:ascii="宋体" w:hAnsi="宋体"/>
                <w:kern w:val="0"/>
                <w:szCs w:val="21"/>
                <w:highlight w:val="none"/>
              </w:rPr>
              <w:t>2.按投标人须知第8.1（2）执行；</w:t>
            </w:r>
          </w:p>
          <w:p>
            <w:pPr>
              <w:widowControl/>
              <w:spacing w:afterLines="0"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按投标人须知第8.1（3）执行；</w:t>
            </w:r>
          </w:p>
          <w:p>
            <w:pPr>
              <w:widowControl/>
              <w:spacing w:after="0" w:afterLines="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按投标人须知第8.1（4）执行</w:t>
            </w:r>
            <w:r>
              <w:rPr>
                <w:rFonts w:hint="eastAsia" w:ascii="宋体" w:hAnsi="宋体"/>
                <w:kern w:val="0"/>
                <w:szCs w:val="21"/>
                <w:highlight w:val="none"/>
              </w:rPr>
              <w:t>。</w:t>
            </w:r>
          </w:p>
          <w:p>
            <w:pPr>
              <w:widowControl/>
              <w:spacing w:after="0" w:afterLines="0" w:line="400" w:lineRule="exact"/>
              <w:ind w:firstLine="420" w:firstLineChars="200"/>
              <w:rPr>
                <w:rFonts w:hint="eastAsia" w:ascii="宋体" w:hAnsi="宋体" w:cs="宋体"/>
                <w:bCs/>
                <w:szCs w:val="21"/>
                <w:highlight w:val="none"/>
                <w:lang w:val="en-GB"/>
              </w:rPr>
            </w:pPr>
            <w:r>
              <w:rPr>
                <w:rFonts w:hint="eastAsia" w:ascii="宋体" w:hAnsi="宋体"/>
                <w:kern w:val="0"/>
                <w:szCs w:val="21"/>
                <w:highlight w:val="none"/>
              </w:rPr>
              <w:t>注：本款只适用于首次招标。</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8.2</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ascii="宋体" w:hAnsi="宋体"/>
                <w:kern w:val="0"/>
                <w:szCs w:val="21"/>
                <w:highlight w:val="none"/>
              </w:rPr>
            </w:pPr>
            <w:r>
              <w:rPr>
                <w:rFonts w:hint="eastAsia" w:ascii="宋体" w:hAnsi="宋体"/>
                <w:kern w:val="0"/>
                <w:szCs w:val="21"/>
                <w:highlight w:val="none"/>
              </w:rPr>
              <w:t>重新</w:t>
            </w:r>
            <w:r>
              <w:rPr>
                <w:rFonts w:ascii="宋体" w:hAnsi="宋体"/>
                <w:kern w:val="0"/>
                <w:szCs w:val="21"/>
                <w:highlight w:val="none"/>
              </w:rPr>
              <w:t>招标和不再</w:t>
            </w:r>
          </w:p>
          <w:p>
            <w:pPr>
              <w:snapToGrid w:val="0"/>
              <w:spacing w:afterLines="0" w:line="400" w:lineRule="exact"/>
              <w:jc w:val="center"/>
              <w:rPr>
                <w:rFonts w:hint="eastAsia" w:ascii="宋体" w:hAnsi="宋体" w:cs="宋体"/>
                <w:kern w:val="0"/>
                <w:szCs w:val="21"/>
                <w:highlight w:val="none"/>
              </w:rPr>
            </w:pPr>
            <w:r>
              <w:rPr>
                <w:rFonts w:ascii="宋体" w:hAnsi="宋体"/>
                <w:kern w:val="0"/>
                <w:szCs w:val="21"/>
                <w:highlight w:val="none"/>
              </w:rPr>
              <w:t>招标</w:t>
            </w:r>
          </w:p>
        </w:tc>
        <w:tc>
          <w:tcPr>
            <w:tcW w:w="645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0" w:afterLines="0" w:line="400" w:lineRule="exact"/>
              <w:ind w:firstLine="420" w:firstLineChars="200"/>
              <w:rPr>
                <w:rFonts w:hint="eastAsia" w:ascii="宋体" w:hAnsi="宋体" w:cs="宋体"/>
                <w:bCs/>
                <w:szCs w:val="21"/>
                <w:highlight w:val="none"/>
                <w:lang w:val="en-GB"/>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15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afterLines="0" w:line="400" w:lineRule="exact"/>
              <w:jc w:val="center"/>
              <w:rPr>
                <w:rFonts w:hint="eastAsia" w:ascii="宋体" w:hAnsi="宋体" w:cs="宋体"/>
                <w:kern w:val="0"/>
                <w:szCs w:val="21"/>
                <w:highlight w:val="none"/>
                <w:u w:val="single"/>
              </w:rPr>
            </w:pPr>
            <w:r>
              <w:rPr>
                <w:rFonts w:hint="eastAsia" w:ascii="宋体" w:hAnsi="宋体" w:cs="宋体"/>
                <w:kern w:val="0"/>
                <w:szCs w:val="21"/>
                <w:highlight w:val="none"/>
              </w:rPr>
              <w:t>需要</w:t>
            </w:r>
            <w:r>
              <w:rPr>
                <w:rFonts w:hint="eastAsia" w:ascii="宋体" w:hAnsi="宋体" w:cs="宋体"/>
                <w:spacing w:val="-2"/>
                <w:kern w:val="0"/>
                <w:szCs w:val="21"/>
                <w:highlight w:val="none"/>
              </w:rPr>
              <w:t>补</w:t>
            </w:r>
            <w:r>
              <w:rPr>
                <w:rFonts w:hint="eastAsia" w:ascii="宋体" w:hAnsi="宋体" w:cs="宋体"/>
                <w:kern w:val="0"/>
                <w:szCs w:val="21"/>
                <w:highlight w:val="none"/>
              </w:rPr>
              <w:t>充</w:t>
            </w:r>
            <w:r>
              <w:rPr>
                <w:rFonts w:hint="eastAsia" w:ascii="宋体" w:hAnsi="宋体" w:cs="宋体"/>
                <w:spacing w:val="-2"/>
                <w:kern w:val="0"/>
                <w:szCs w:val="21"/>
                <w:highlight w:val="none"/>
              </w:rPr>
              <w:t>的</w:t>
            </w:r>
            <w:r>
              <w:rPr>
                <w:rFonts w:hint="eastAsia" w:ascii="宋体" w:hAnsi="宋体" w:cs="宋体"/>
                <w:kern w:val="0"/>
                <w:szCs w:val="21"/>
                <w:highlight w:val="none"/>
              </w:rPr>
              <w:t>其</w:t>
            </w:r>
            <w:r>
              <w:rPr>
                <w:rFonts w:hint="eastAsia" w:ascii="宋体" w:hAnsi="宋体" w:cs="宋体"/>
                <w:spacing w:val="-2"/>
                <w:kern w:val="0"/>
                <w:szCs w:val="21"/>
                <w:highlight w:val="none"/>
              </w:rPr>
              <w:t>他</w:t>
            </w:r>
            <w:r>
              <w:rPr>
                <w:rFonts w:hint="eastAsia" w:ascii="宋体" w:hAnsi="宋体" w:cs="宋体"/>
                <w:kern w:val="0"/>
                <w:szCs w:val="21"/>
                <w:highlight w:val="none"/>
              </w:rPr>
              <w:t>内容</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kern w:val="0"/>
                <w:szCs w:val="21"/>
                <w:highlight w:val="none"/>
              </w:rPr>
              <w:t>10</w:t>
            </w:r>
            <w:r>
              <w:rPr>
                <w:rFonts w:ascii="宋体" w:hAnsi="宋体"/>
                <w:kern w:val="0"/>
                <w:szCs w:val="21"/>
                <w:highlight w:val="none"/>
              </w:rPr>
              <w:t>.1</w:t>
            </w:r>
          </w:p>
        </w:tc>
        <w:tc>
          <w:tcPr>
            <w:tcW w:w="1701" w:type="dxa"/>
            <w:tcBorders>
              <w:top w:val="single" w:color="000000" w:sz="4" w:space="0"/>
              <w:left w:val="single" w:color="000000" w:sz="4" w:space="0"/>
              <w:bottom w:val="single" w:color="000000" w:sz="4" w:space="0"/>
              <w:right w:val="single" w:color="auto" w:sz="4" w:space="0"/>
            </w:tcBorders>
            <w:vAlign w:val="center"/>
          </w:tcPr>
          <w:p>
            <w:pPr>
              <w:snapToGrid w:val="0"/>
              <w:spacing w:afterLines="0" w:line="400" w:lineRule="exact"/>
              <w:jc w:val="center"/>
              <w:rPr>
                <w:rFonts w:hint="eastAsia" w:ascii="宋体" w:hAnsi="宋体" w:cs="宋体"/>
                <w:szCs w:val="21"/>
                <w:highlight w:val="none"/>
              </w:rPr>
            </w:pPr>
            <w:r>
              <w:rPr>
                <w:rFonts w:hint="eastAsia" w:ascii="宋体" w:hAnsi="宋体" w:cs="宋体"/>
                <w:kern w:val="0"/>
                <w:szCs w:val="21"/>
                <w:highlight w:val="none"/>
              </w:rPr>
              <w:t>关于对招标文件及投标争议的解释</w:t>
            </w:r>
          </w:p>
        </w:tc>
        <w:tc>
          <w:tcPr>
            <w:tcW w:w="6458" w:type="dxa"/>
            <w:tcBorders>
              <w:top w:val="single" w:color="000000" w:sz="4" w:space="0"/>
              <w:left w:val="single" w:color="auto" w:sz="4" w:space="0"/>
              <w:bottom w:val="single" w:color="000000" w:sz="4" w:space="0"/>
              <w:right w:val="single" w:color="000000" w:sz="4" w:space="0"/>
            </w:tcBorders>
            <w:vAlign w:val="center"/>
          </w:tcPr>
          <w:p>
            <w:pPr>
              <w:pStyle w:val="20"/>
              <w:adjustRightInd w:val="0"/>
              <w:snapToGrid w:val="0"/>
              <w:spacing w:afterLines="0"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对资格预审文件或者招标文件的评标标准和方法，以及资格审查和否决投标条款理解有争议的，应当作出不利于招标人的解释，但违背国家利益、社会公共利益的除外。</w:t>
            </w:r>
          </w:p>
          <w:p>
            <w:pPr>
              <w:pStyle w:val="20"/>
              <w:adjustRightInd w:val="0"/>
              <w:snapToGrid w:val="0"/>
              <w:spacing w:afterLines="0" w:line="400" w:lineRule="exact"/>
              <w:ind w:firstLine="420" w:firstLineChars="200"/>
              <w:rPr>
                <w:rFonts w:hint="eastAsia" w:ascii="宋体" w:hAnsi="宋体" w:eastAsia="宋体" w:cs="宋体"/>
                <w:szCs w:val="21"/>
                <w:highlight w:val="none"/>
              </w:rPr>
            </w:pPr>
            <w:r>
              <w:rPr>
                <w:rFonts w:hint="eastAsia" w:ascii="宋体" w:hAnsi="宋体" w:eastAsia="宋体" w:cs="宋体"/>
                <w:highlight w:val="none"/>
              </w:rPr>
              <w:t>对投标文件理解有争议的，应当作出不利于提交该投标文件的投标人的解释。</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cs="宋体"/>
                <w:color w:val="auto"/>
                <w:sz w:val="21"/>
                <w:szCs w:val="21"/>
                <w:highlight w:val="none"/>
              </w:rPr>
            </w:pPr>
            <w:r>
              <w:rPr>
                <w:rFonts w:hint="eastAsia" w:hAnsi="宋体"/>
                <w:bCs/>
                <w:color w:val="auto"/>
                <w:sz w:val="21"/>
                <w:szCs w:val="21"/>
                <w:highlight w:val="none"/>
              </w:rPr>
              <w:t>10.2</w:t>
            </w:r>
          </w:p>
        </w:tc>
        <w:tc>
          <w:tcPr>
            <w:tcW w:w="1701" w:type="dxa"/>
            <w:tcBorders>
              <w:top w:val="single" w:color="000000" w:sz="4" w:space="0"/>
              <w:left w:val="single" w:color="000000" w:sz="4" w:space="0"/>
              <w:bottom w:val="single" w:color="000000" w:sz="4" w:space="0"/>
              <w:right w:val="single" w:color="auto" w:sz="4" w:space="0"/>
            </w:tcBorders>
            <w:vAlign w:val="center"/>
          </w:tcPr>
          <w:p>
            <w:pPr>
              <w:tabs>
                <w:tab w:val="left" w:pos="1050"/>
                <w:tab w:val="left" w:pos="1470"/>
              </w:tabs>
              <w:snapToGrid w:val="0"/>
              <w:spacing w:afterLines="0" w:line="400" w:lineRule="exact"/>
              <w:jc w:val="center"/>
              <w:rPr>
                <w:rFonts w:hint="eastAsia" w:ascii="宋体" w:hAnsi="宋体" w:cs="宋体"/>
                <w:szCs w:val="21"/>
                <w:highlight w:val="none"/>
              </w:rPr>
            </w:pPr>
            <w:r>
              <w:rPr>
                <w:rFonts w:hint="eastAsia"/>
                <w:highlight w:val="none"/>
                <w:lang w:val="en-GB"/>
              </w:rPr>
              <w:t>招标代理服务费</w:t>
            </w:r>
          </w:p>
        </w:tc>
        <w:tc>
          <w:tcPr>
            <w:tcW w:w="6458"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napToGrid w:val="0"/>
              <w:spacing w:afterLines="0" w:line="400" w:lineRule="exact"/>
              <w:ind w:firstLine="420" w:firstLineChars="200"/>
              <w:rPr>
                <w:highlight w:val="none"/>
              </w:rPr>
            </w:pPr>
            <w:r>
              <w:rPr>
                <w:rFonts w:hint="eastAsia" w:ascii="宋体" w:hAnsi="宋体"/>
                <w:kern w:val="0"/>
                <w:szCs w:val="21"/>
                <w:highlight w:val="none"/>
              </w:rPr>
              <w:t>本项目的招标代理服务费由中标人支付，投标人应将此费用纳入投标报价但不单列。招标代理服务费按本项目招标人招标代理框架项目委托协议书规定的服务类标准执行（详见下表）；</w:t>
            </w:r>
          </w:p>
          <w:tbl>
            <w:tblPr>
              <w:tblStyle w:val="15"/>
              <w:tblW w:w="5498" w:type="dxa"/>
              <w:jc w:val="center"/>
              <w:tblInd w:w="0" w:type="dxa"/>
              <w:tblLayout w:type="fixed"/>
              <w:tblCellMar>
                <w:top w:w="0" w:type="dxa"/>
                <w:left w:w="108" w:type="dxa"/>
                <w:bottom w:w="0" w:type="dxa"/>
                <w:right w:w="108" w:type="dxa"/>
              </w:tblCellMar>
            </w:tblPr>
            <w:tblGrid>
              <w:gridCol w:w="2492"/>
              <w:gridCol w:w="967"/>
              <w:gridCol w:w="974"/>
              <w:gridCol w:w="1065"/>
            </w:tblGrid>
            <w:tr>
              <w:tblPrEx>
                <w:tblLayout w:type="fixed"/>
                <w:tblCellMar>
                  <w:top w:w="0" w:type="dxa"/>
                  <w:left w:w="108" w:type="dxa"/>
                  <w:bottom w:w="0" w:type="dxa"/>
                  <w:right w:w="108" w:type="dxa"/>
                </w:tblCellMar>
              </w:tblPrEx>
              <w:trPr>
                <w:trHeight w:val="518" w:hRule="atLeast"/>
                <w:jc w:val="center"/>
              </w:trPr>
              <w:tc>
                <w:tcPr>
                  <w:tcW w:w="2492" w:type="dxa"/>
                  <w:tcBorders>
                    <w:top w:val="single" w:color="000000" w:sz="6" w:space="0"/>
                    <w:left w:val="single" w:color="000000" w:sz="6" w:space="0"/>
                    <w:bottom w:val="nil"/>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服务类型费率</w:t>
                  </w:r>
                </w:p>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中标金额（万元）</w:t>
                  </w:r>
                </w:p>
              </w:tc>
              <w:tc>
                <w:tcPr>
                  <w:tcW w:w="967" w:type="dxa"/>
                  <w:tcBorders>
                    <w:top w:val="single" w:color="000000" w:sz="6" w:space="0"/>
                    <w:left w:val="single" w:color="000000" w:sz="6"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货物招标</w:t>
                  </w:r>
                </w:p>
              </w:tc>
              <w:tc>
                <w:tcPr>
                  <w:tcW w:w="974" w:type="dxa"/>
                  <w:tcBorders>
                    <w:top w:val="single" w:color="000000" w:sz="6" w:space="0"/>
                    <w:left w:val="single" w:color="000000" w:sz="6"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服务招标</w:t>
                  </w:r>
                </w:p>
              </w:tc>
              <w:tc>
                <w:tcPr>
                  <w:tcW w:w="1065" w:type="dxa"/>
                  <w:tcBorders>
                    <w:top w:val="single" w:color="000000" w:sz="6" w:space="0"/>
                    <w:left w:val="single" w:color="000000" w:sz="6"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工程招标</w:t>
                  </w:r>
                </w:p>
              </w:tc>
            </w:tr>
            <w:tr>
              <w:tblPrEx>
                <w:tblLayout w:type="fixed"/>
                <w:tblCellMar>
                  <w:top w:w="0" w:type="dxa"/>
                  <w:left w:w="108" w:type="dxa"/>
                  <w:bottom w:w="0" w:type="dxa"/>
                  <w:right w:w="108" w:type="dxa"/>
                </w:tblCellMar>
              </w:tblPrEx>
              <w:trPr>
                <w:trHeight w:val="454" w:hRule="atLeast"/>
                <w:jc w:val="center"/>
              </w:trPr>
              <w:tc>
                <w:tcPr>
                  <w:tcW w:w="24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100以下</w:t>
                  </w:r>
                </w:p>
              </w:tc>
              <w:tc>
                <w:tcPr>
                  <w:tcW w:w="967"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1.5%</w:t>
                  </w:r>
                </w:p>
              </w:tc>
              <w:tc>
                <w:tcPr>
                  <w:tcW w:w="974"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1.5%</w:t>
                  </w:r>
                </w:p>
              </w:tc>
              <w:tc>
                <w:tcPr>
                  <w:tcW w:w="1065"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1.0%</w:t>
                  </w:r>
                </w:p>
              </w:tc>
            </w:tr>
            <w:tr>
              <w:tblPrEx>
                <w:tblLayout w:type="fixed"/>
                <w:tblCellMar>
                  <w:top w:w="0" w:type="dxa"/>
                  <w:left w:w="108" w:type="dxa"/>
                  <w:bottom w:w="0" w:type="dxa"/>
                  <w:right w:w="108" w:type="dxa"/>
                </w:tblCellMar>
              </w:tblPrEx>
              <w:trPr>
                <w:trHeight w:val="454" w:hRule="atLeast"/>
                <w:jc w:val="center"/>
              </w:trPr>
              <w:tc>
                <w:tcPr>
                  <w:tcW w:w="24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eastAsia="宋体"/>
                      <w:szCs w:val="21"/>
                      <w:highlight w:val="none"/>
                      <w:lang w:eastAsia="zh-CN"/>
                    </w:rPr>
                  </w:pPr>
                  <w:r>
                    <w:rPr>
                      <w:rFonts w:hint="eastAsia" w:ascii="宋体" w:hAnsi="宋体"/>
                      <w:szCs w:val="21"/>
                      <w:highlight w:val="none"/>
                    </w:rPr>
                    <w:t>100</w:t>
                  </w:r>
                  <w:r>
                    <w:rPr>
                      <w:rFonts w:hint="eastAsia" w:ascii="宋体" w:hAnsi="宋体"/>
                      <w:szCs w:val="21"/>
                      <w:highlight w:val="none"/>
                      <w:lang w:eastAsia="zh-CN"/>
                    </w:rPr>
                    <w:t>（含）</w:t>
                  </w:r>
                  <w:r>
                    <w:rPr>
                      <w:rFonts w:hint="eastAsia" w:ascii="宋体" w:hAnsi="宋体"/>
                      <w:szCs w:val="21"/>
                      <w:highlight w:val="none"/>
                    </w:rPr>
                    <w:t>-500</w:t>
                  </w:r>
                  <w:r>
                    <w:rPr>
                      <w:rFonts w:hint="eastAsia" w:ascii="宋体" w:hAnsi="宋体"/>
                      <w:szCs w:val="21"/>
                      <w:highlight w:val="none"/>
                      <w:lang w:eastAsia="zh-CN"/>
                    </w:rPr>
                    <w:t>（不含）</w:t>
                  </w:r>
                </w:p>
              </w:tc>
              <w:tc>
                <w:tcPr>
                  <w:tcW w:w="967"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1.1%</w:t>
                  </w:r>
                </w:p>
              </w:tc>
              <w:tc>
                <w:tcPr>
                  <w:tcW w:w="974"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0.8%</w:t>
                  </w:r>
                </w:p>
              </w:tc>
              <w:tc>
                <w:tcPr>
                  <w:tcW w:w="1065"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0.7%</w:t>
                  </w:r>
                </w:p>
              </w:tc>
            </w:tr>
            <w:tr>
              <w:tblPrEx>
                <w:tblLayout w:type="fixed"/>
                <w:tblCellMar>
                  <w:top w:w="0" w:type="dxa"/>
                  <w:left w:w="108" w:type="dxa"/>
                  <w:bottom w:w="0" w:type="dxa"/>
                  <w:right w:w="108" w:type="dxa"/>
                </w:tblCellMar>
              </w:tblPrEx>
              <w:trPr>
                <w:trHeight w:val="454" w:hRule="atLeast"/>
                <w:jc w:val="center"/>
              </w:trPr>
              <w:tc>
                <w:tcPr>
                  <w:tcW w:w="24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500</w:t>
                  </w:r>
                  <w:r>
                    <w:rPr>
                      <w:rFonts w:hint="eastAsia" w:ascii="宋体" w:hAnsi="宋体"/>
                      <w:szCs w:val="21"/>
                      <w:highlight w:val="none"/>
                      <w:lang w:eastAsia="zh-CN"/>
                    </w:rPr>
                    <w:t>（含）</w:t>
                  </w:r>
                  <w:r>
                    <w:rPr>
                      <w:rFonts w:hint="eastAsia" w:ascii="宋体" w:hAnsi="宋体"/>
                      <w:szCs w:val="21"/>
                      <w:highlight w:val="none"/>
                    </w:rPr>
                    <w:t>-1000</w:t>
                  </w:r>
                  <w:r>
                    <w:rPr>
                      <w:rFonts w:hint="eastAsia" w:ascii="宋体" w:hAnsi="宋体"/>
                      <w:szCs w:val="21"/>
                      <w:highlight w:val="none"/>
                      <w:lang w:eastAsia="zh-CN"/>
                    </w:rPr>
                    <w:t>（不含）</w:t>
                  </w:r>
                </w:p>
              </w:tc>
              <w:tc>
                <w:tcPr>
                  <w:tcW w:w="967"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0.8%</w:t>
                  </w:r>
                </w:p>
              </w:tc>
              <w:tc>
                <w:tcPr>
                  <w:tcW w:w="974"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0.45%</w:t>
                  </w:r>
                </w:p>
              </w:tc>
              <w:tc>
                <w:tcPr>
                  <w:tcW w:w="1065"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0.55%</w:t>
                  </w:r>
                </w:p>
              </w:tc>
            </w:tr>
            <w:tr>
              <w:tblPrEx>
                <w:tblLayout w:type="fixed"/>
                <w:tblCellMar>
                  <w:top w:w="0" w:type="dxa"/>
                  <w:left w:w="108" w:type="dxa"/>
                  <w:bottom w:w="0" w:type="dxa"/>
                  <w:right w:w="108" w:type="dxa"/>
                </w:tblCellMar>
              </w:tblPrEx>
              <w:trPr>
                <w:trHeight w:val="454" w:hRule="atLeast"/>
                <w:jc w:val="center"/>
              </w:trPr>
              <w:tc>
                <w:tcPr>
                  <w:tcW w:w="24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1000</w:t>
                  </w:r>
                  <w:r>
                    <w:rPr>
                      <w:rFonts w:hint="eastAsia" w:ascii="宋体" w:hAnsi="宋体"/>
                      <w:szCs w:val="21"/>
                      <w:highlight w:val="none"/>
                      <w:lang w:eastAsia="zh-CN"/>
                    </w:rPr>
                    <w:t>（含）</w:t>
                  </w:r>
                  <w:r>
                    <w:rPr>
                      <w:rFonts w:hint="eastAsia" w:ascii="宋体" w:hAnsi="宋体"/>
                      <w:szCs w:val="21"/>
                      <w:highlight w:val="none"/>
                    </w:rPr>
                    <w:t>-5000</w:t>
                  </w:r>
                  <w:r>
                    <w:rPr>
                      <w:rFonts w:hint="eastAsia" w:ascii="宋体" w:hAnsi="宋体"/>
                      <w:szCs w:val="21"/>
                      <w:highlight w:val="none"/>
                      <w:lang w:eastAsia="zh-CN"/>
                    </w:rPr>
                    <w:t>（不含）</w:t>
                  </w:r>
                </w:p>
              </w:tc>
              <w:tc>
                <w:tcPr>
                  <w:tcW w:w="967"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w:t>
                  </w:r>
                  <w:r>
                    <w:rPr>
                      <w:rFonts w:hint="eastAsia" w:ascii="宋体" w:hAnsi="宋体"/>
                      <w:szCs w:val="21"/>
                      <w:highlight w:val="none"/>
                      <w:lang w:val="en-US" w:eastAsia="zh-CN"/>
                    </w:rPr>
                    <w:t>36</w:t>
                  </w:r>
                  <w:r>
                    <w:rPr>
                      <w:rFonts w:hint="eastAsia" w:ascii="宋体" w:hAnsi="宋体"/>
                      <w:szCs w:val="21"/>
                      <w:highlight w:val="none"/>
                    </w:rPr>
                    <w:t>%</w:t>
                  </w:r>
                </w:p>
              </w:tc>
              <w:tc>
                <w:tcPr>
                  <w:tcW w:w="974"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w:t>
                  </w:r>
                  <w:r>
                    <w:rPr>
                      <w:rFonts w:hint="eastAsia" w:ascii="宋体" w:hAnsi="宋体"/>
                      <w:szCs w:val="21"/>
                      <w:highlight w:val="none"/>
                      <w:lang w:val="en-US" w:eastAsia="zh-CN"/>
                    </w:rPr>
                    <w:t>18</w:t>
                  </w:r>
                  <w:r>
                    <w:rPr>
                      <w:rFonts w:hint="eastAsia" w:ascii="宋体" w:hAnsi="宋体"/>
                      <w:szCs w:val="21"/>
                      <w:highlight w:val="none"/>
                    </w:rPr>
                    <w:t>%</w:t>
                  </w:r>
                </w:p>
              </w:tc>
              <w:tc>
                <w:tcPr>
                  <w:tcW w:w="1065"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w:t>
                  </w:r>
                  <w:r>
                    <w:rPr>
                      <w:rFonts w:hint="eastAsia" w:ascii="宋体" w:hAnsi="宋体"/>
                      <w:szCs w:val="21"/>
                      <w:highlight w:val="none"/>
                      <w:lang w:val="en-US" w:eastAsia="zh-CN"/>
                    </w:rPr>
                    <w:t>252</w:t>
                  </w:r>
                  <w:r>
                    <w:rPr>
                      <w:rFonts w:hint="eastAsia" w:ascii="宋体" w:hAnsi="宋体"/>
                      <w:szCs w:val="21"/>
                      <w:highlight w:val="none"/>
                    </w:rPr>
                    <w:t>%</w:t>
                  </w:r>
                </w:p>
              </w:tc>
            </w:tr>
            <w:tr>
              <w:tblPrEx>
                <w:tblLayout w:type="fixed"/>
                <w:tblCellMar>
                  <w:top w:w="0" w:type="dxa"/>
                  <w:left w:w="108" w:type="dxa"/>
                  <w:bottom w:w="0" w:type="dxa"/>
                  <w:right w:w="108" w:type="dxa"/>
                </w:tblCellMar>
              </w:tblPrEx>
              <w:trPr>
                <w:trHeight w:val="454" w:hRule="atLeast"/>
                <w:jc w:val="center"/>
              </w:trPr>
              <w:tc>
                <w:tcPr>
                  <w:tcW w:w="24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5000</w:t>
                  </w:r>
                  <w:r>
                    <w:rPr>
                      <w:rFonts w:hint="eastAsia" w:ascii="宋体" w:hAnsi="宋体"/>
                      <w:szCs w:val="21"/>
                      <w:highlight w:val="none"/>
                      <w:lang w:eastAsia="zh-CN"/>
                    </w:rPr>
                    <w:t>（含）</w:t>
                  </w:r>
                  <w:r>
                    <w:rPr>
                      <w:rFonts w:hint="eastAsia" w:ascii="宋体" w:hAnsi="宋体"/>
                      <w:szCs w:val="21"/>
                      <w:highlight w:val="none"/>
                    </w:rPr>
                    <w:t>-10000</w:t>
                  </w:r>
                  <w:r>
                    <w:rPr>
                      <w:rFonts w:hint="eastAsia" w:ascii="宋体" w:hAnsi="宋体"/>
                      <w:szCs w:val="21"/>
                      <w:highlight w:val="none"/>
                      <w:lang w:eastAsia="zh-CN"/>
                    </w:rPr>
                    <w:t>（不含）</w:t>
                  </w:r>
                </w:p>
              </w:tc>
              <w:tc>
                <w:tcPr>
                  <w:tcW w:w="967"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w:t>
                  </w:r>
                  <w:r>
                    <w:rPr>
                      <w:rFonts w:hint="eastAsia" w:ascii="宋体" w:hAnsi="宋体"/>
                      <w:szCs w:val="21"/>
                      <w:highlight w:val="none"/>
                      <w:lang w:val="en-US" w:eastAsia="zh-CN"/>
                    </w:rPr>
                    <w:t>16</w:t>
                  </w:r>
                  <w:r>
                    <w:rPr>
                      <w:rFonts w:hint="eastAsia" w:ascii="宋体" w:hAnsi="宋体"/>
                      <w:szCs w:val="21"/>
                      <w:highlight w:val="none"/>
                    </w:rPr>
                    <w:t>%</w:t>
                  </w:r>
                </w:p>
              </w:tc>
              <w:tc>
                <w:tcPr>
                  <w:tcW w:w="974"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0.0</w:t>
                  </w:r>
                  <w:r>
                    <w:rPr>
                      <w:rFonts w:hint="eastAsia" w:ascii="宋体" w:hAnsi="宋体"/>
                      <w:szCs w:val="21"/>
                      <w:highlight w:val="none"/>
                      <w:lang w:val="en-US" w:eastAsia="zh-CN"/>
                    </w:rPr>
                    <w:t>64</w:t>
                  </w:r>
                  <w:r>
                    <w:rPr>
                      <w:rFonts w:hint="eastAsia" w:ascii="宋体" w:hAnsi="宋体"/>
                      <w:szCs w:val="21"/>
                      <w:highlight w:val="none"/>
                    </w:rPr>
                    <w:t>%</w:t>
                  </w:r>
                </w:p>
              </w:tc>
              <w:tc>
                <w:tcPr>
                  <w:tcW w:w="1065"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ascii="宋体" w:hAnsi="宋体"/>
                      <w:szCs w:val="21"/>
                      <w:highlight w:val="none"/>
                    </w:rPr>
                  </w:pPr>
                  <w:r>
                    <w:rPr>
                      <w:rFonts w:hint="eastAsia" w:ascii="宋体" w:hAnsi="宋体"/>
                      <w:szCs w:val="21"/>
                      <w:highlight w:val="none"/>
                    </w:rPr>
                    <w:t>0.1</w:t>
                  </w:r>
                  <w:r>
                    <w:rPr>
                      <w:rFonts w:hint="eastAsia" w:ascii="宋体" w:hAnsi="宋体"/>
                      <w:szCs w:val="21"/>
                      <w:highlight w:val="none"/>
                      <w:lang w:val="en-US" w:eastAsia="zh-CN"/>
                    </w:rPr>
                    <w:t>28</w:t>
                  </w:r>
                  <w:r>
                    <w:rPr>
                      <w:rFonts w:hint="eastAsia" w:ascii="宋体" w:hAnsi="宋体"/>
                      <w:szCs w:val="21"/>
                      <w:highlight w:val="none"/>
                    </w:rPr>
                    <w:t>%</w:t>
                  </w:r>
                </w:p>
              </w:tc>
            </w:tr>
            <w:tr>
              <w:tblPrEx>
                <w:tblLayout w:type="fixed"/>
                <w:tblCellMar>
                  <w:top w:w="0" w:type="dxa"/>
                  <w:left w:w="108" w:type="dxa"/>
                  <w:bottom w:w="0" w:type="dxa"/>
                  <w:right w:w="108" w:type="dxa"/>
                </w:tblCellMar>
              </w:tblPrEx>
              <w:trPr>
                <w:trHeight w:val="454" w:hRule="atLeast"/>
                <w:jc w:val="center"/>
              </w:trPr>
              <w:tc>
                <w:tcPr>
                  <w:tcW w:w="24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0000</w:t>
                  </w:r>
                  <w:r>
                    <w:rPr>
                      <w:rFonts w:hint="eastAsia" w:ascii="宋体" w:hAnsi="宋体"/>
                      <w:szCs w:val="21"/>
                      <w:highlight w:val="none"/>
                      <w:lang w:eastAsia="zh-CN"/>
                    </w:rPr>
                    <w:t>（含）</w:t>
                  </w:r>
                  <w:r>
                    <w:rPr>
                      <w:rFonts w:ascii="宋体" w:hAnsi="宋体"/>
                      <w:szCs w:val="21"/>
                      <w:highlight w:val="none"/>
                    </w:rPr>
                    <w:t>-</w:t>
                  </w:r>
                  <w:r>
                    <w:rPr>
                      <w:rFonts w:hint="eastAsia" w:ascii="宋体" w:hAnsi="宋体"/>
                      <w:szCs w:val="21"/>
                      <w:highlight w:val="none"/>
                      <w:lang w:val="en-US" w:eastAsia="zh-CN"/>
                    </w:rPr>
                    <w:t>10</w:t>
                  </w:r>
                  <w:r>
                    <w:rPr>
                      <w:rFonts w:ascii="宋体" w:hAnsi="宋体"/>
                      <w:szCs w:val="21"/>
                      <w:highlight w:val="none"/>
                    </w:rPr>
                    <w:t>0000</w:t>
                  </w:r>
                  <w:r>
                    <w:rPr>
                      <w:rFonts w:hint="eastAsia" w:ascii="宋体" w:hAnsi="宋体"/>
                      <w:szCs w:val="21"/>
                      <w:highlight w:val="none"/>
                      <w:lang w:eastAsia="zh-CN"/>
                    </w:rPr>
                    <w:t>（不含）</w:t>
                  </w:r>
                </w:p>
              </w:tc>
              <w:tc>
                <w:tcPr>
                  <w:tcW w:w="967"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szCs w:val="21"/>
                      <w:highlight w:val="none"/>
                    </w:rPr>
                  </w:pPr>
                  <w:r>
                    <w:rPr>
                      <w:rFonts w:hint="eastAsia" w:ascii="宋体" w:hAnsi="宋体"/>
                      <w:szCs w:val="21"/>
                      <w:highlight w:val="none"/>
                    </w:rPr>
                    <w:t>0.</w:t>
                  </w:r>
                  <w:r>
                    <w:rPr>
                      <w:rFonts w:ascii="宋体" w:hAnsi="宋体"/>
                      <w:szCs w:val="21"/>
                      <w:highlight w:val="none"/>
                    </w:rPr>
                    <w:t>0</w:t>
                  </w:r>
                  <w:r>
                    <w:rPr>
                      <w:rFonts w:hint="eastAsia" w:ascii="宋体" w:hAnsi="宋体"/>
                      <w:szCs w:val="21"/>
                      <w:highlight w:val="none"/>
                    </w:rPr>
                    <w:t>2%</w:t>
                  </w:r>
                </w:p>
              </w:tc>
              <w:tc>
                <w:tcPr>
                  <w:tcW w:w="974"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szCs w:val="21"/>
                      <w:highlight w:val="none"/>
                    </w:rPr>
                  </w:pPr>
                  <w:r>
                    <w:rPr>
                      <w:rFonts w:hint="eastAsia" w:ascii="宋体" w:hAnsi="宋体"/>
                      <w:szCs w:val="21"/>
                      <w:highlight w:val="none"/>
                    </w:rPr>
                    <w:t>0.</w:t>
                  </w:r>
                  <w:r>
                    <w:rPr>
                      <w:rFonts w:ascii="宋体" w:hAnsi="宋体"/>
                      <w:szCs w:val="21"/>
                      <w:highlight w:val="none"/>
                    </w:rPr>
                    <w:t>0</w:t>
                  </w:r>
                  <w:r>
                    <w:rPr>
                      <w:rFonts w:hint="eastAsia" w:ascii="宋体" w:hAnsi="宋体"/>
                      <w:szCs w:val="21"/>
                      <w:highlight w:val="none"/>
                    </w:rPr>
                    <w:t>2%</w:t>
                  </w:r>
                </w:p>
              </w:tc>
              <w:tc>
                <w:tcPr>
                  <w:tcW w:w="1065"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szCs w:val="21"/>
                      <w:highlight w:val="none"/>
                    </w:rPr>
                  </w:pPr>
                  <w:r>
                    <w:rPr>
                      <w:rFonts w:hint="eastAsia" w:ascii="宋体" w:hAnsi="宋体"/>
                      <w:szCs w:val="21"/>
                      <w:highlight w:val="none"/>
                    </w:rPr>
                    <w:t>0.</w:t>
                  </w:r>
                  <w:r>
                    <w:rPr>
                      <w:rFonts w:ascii="宋体" w:hAnsi="宋体"/>
                      <w:szCs w:val="21"/>
                      <w:highlight w:val="none"/>
                    </w:rPr>
                    <w:t>0</w:t>
                  </w:r>
                  <w:r>
                    <w:rPr>
                      <w:rFonts w:hint="eastAsia" w:ascii="宋体" w:hAnsi="宋体"/>
                      <w:szCs w:val="21"/>
                      <w:highlight w:val="none"/>
                    </w:rPr>
                    <w:t>2%</w:t>
                  </w:r>
                </w:p>
              </w:tc>
            </w:tr>
            <w:tr>
              <w:tblPrEx>
                <w:tblLayout w:type="fixed"/>
                <w:tblCellMar>
                  <w:top w:w="0" w:type="dxa"/>
                  <w:left w:w="108" w:type="dxa"/>
                  <w:bottom w:w="0" w:type="dxa"/>
                  <w:right w:w="108" w:type="dxa"/>
                </w:tblCellMar>
              </w:tblPrEx>
              <w:trPr>
                <w:trHeight w:val="454" w:hRule="atLeast"/>
                <w:jc w:val="center"/>
              </w:trPr>
              <w:tc>
                <w:tcPr>
                  <w:tcW w:w="24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10</w:t>
                  </w:r>
                  <w:r>
                    <w:rPr>
                      <w:rFonts w:ascii="宋体" w:hAnsi="宋体"/>
                      <w:szCs w:val="21"/>
                      <w:highlight w:val="none"/>
                    </w:rPr>
                    <w:t>0000</w:t>
                  </w:r>
                  <w:r>
                    <w:rPr>
                      <w:rFonts w:hint="eastAsia" w:ascii="宋体" w:hAnsi="宋体"/>
                      <w:szCs w:val="21"/>
                      <w:highlight w:val="none"/>
                      <w:lang w:eastAsia="zh-CN"/>
                    </w:rPr>
                    <w:t>（以上）</w:t>
                  </w:r>
                </w:p>
              </w:tc>
              <w:tc>
                <w:tcPr>
                  <w:tcW w:w="967"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0.004%</w:t>
                  </w:r>
                </w:p>
              </w:tc>
              <w:tc>
                <w:tcPr>
                  <w:tcW w:w="974"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szCs w:val="21"/>
                      <w:highlight w:val="none"/>
                    </w:rPr>
                  </w:pPr>
                  <w:r>
                    <w:rPr>
                      <w:rFonts w:hint="eastAsia" w:ascii="宋体" w:hAnsi="宋体"/>
                      <w:szCs w:val="21"/>
                      <w:highlight w:val="none"/>
                      <w:lang w:val="en-US" w:eastAsia="zh-CN"/>
                    </w:rPr>
                    <w:t>0.004%</w:t>
                  </w:r>
                </w:p>
              </w:tc>
              <w:tc>
                <w:tcPr>
                  <w:tcW w:w="1065" w:type="dxa"/>
                  <w:tcBorders>
                    <w:top w:val="single" w:color="000000" w:sz="6" w:space="0"/>
                    <w:left w:val="single" w:color="000000" w:sz="6" w:space="0"/>
                    <w:bottom w:val="single" w:color="000000" w:sz="6" w:space="0"/>
                    <w:right w:val="single" w:color="auto" w:sz="4" w:space="0"/>
                  </w:tcBorders>
                  <w:tcMar>
                    <w:top w:w="15" w:type="dxa"/>
                    <w:left w:w="15" w:type="dxa"/>
                    <w:bottom w:w="15" w:type="dxa"/>
                    <w:right w:w="15" w:type="dxa"/>
                  </w:tcMar>
                  <w:vAlign w:val="top"/>
                </w:tcPr>
                <w:p>
                  <w:pPr>
                    <w:adjustRightInd w:val="0"/>
                    <w:snapToGrid w:val="0"/>
                    <w:spacing w:afterLines="0" w:line="400" w:lineRule="exact"/>
                    <w:jc w:val="center"/>
                    <w:rPr>
                      <w:rFonts w:hint="eastAsia" w:ascii="宋体" w:hAnsi="宋体"/>
                      <w:szCs w:val="21"/>
                      <w:highlight w:val="none"/>
                    </w:rPr>
                  </w:pPr>
                  <w:r>
                    <w:rPr>
                      <w:rFonts w:hint="eastAsia" w:ascii="宋体" w:hAnsi="宋体"/>
                      <w:szCs w:val="21"/>
                      <w:highlight w:val="none"/>
                      <w:lang w:val="en-US" w:eastAsia="zh-CN"/>
                    </w:rPr>
                    <w:t>0.004%</w:t>
                  </w:r>
                </w:p>
              </w:tc>
            </w:tr>
          </w:tbl>
          <w:p>
            <w:pPr>
              <w:adjustRightInd w:val="0"/>
              <w:snapToGrid w:val="0"/>
              <w:spacing w:after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注：</w:t>
            </w:r>
          </w:p>
          <w:p>
            <w:pPr>
              <w:adjustRightInd w:val="0"/>
              <w:snapToGrid w:val="0"/>
              <w:spacing w:after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（1）按本表费率计算的收费为招标代理服务全过程的收费基准价格。</w:t>
            </w:r>
          </w:p>
          <w:p>
            <w:pPr>
              <w:adjustRightInd w:val="0"/>
              <w:snapToGrid w:val="0"/>
              <w:spacing w:after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（2）招标代理服务收费按差额定率累进法计算。</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afterLines="0" w:line="400" w:lineRule="exact"/>
              <w:jc w:val="center"/>
              <w:rPr>
                <w:rFonts w:hint="eastAsia" w:hAnsi="宋体" w:cs="宋体"/>
                <w:color w:val="auto"/>
                <w:sz w:val="21"/>
                <w:szCs w:val="21"/>
                <w:highlight w:val="none"/>
              </w:rPr>
            </w:pPr>
            <w:r>
              <w:rPr>
                <w:rFonts w:hint="eastAsia" w:hAnsi="宋体"/>
                <w:bCs/>
                <w:color w:val="auto"/>
                <w:sz w:val="21"/>
                <w:szCs w:val="21"/>
                <w:highlight w:val="none"/>
              </w:rPr>
              <w:t>10</w:t>
            </w:r>
            <w:r>
              <w:rPr>
                <w:rFonts w:hAnsi="宋体"/>
                <w:bCs/>
                <w:color w:val="auto"/>
                <w:sz w:val="21"/>
                <w:szCs w:val="21"/>
                <w:highlight w:val="none"/>
              </w:rPr>
              <w:t>.</w:t>
            </w:r>
            <w:r>
              <w:rPr>
                <w:rFonts w:hint="eastAsia" w:hAnsi="宋体"/>
                <w:bCs/>
                <w:color w:val="auto"/>
                <w:sz w:val="21"/>
                <w:szCs w:val="21"/>
                <w:highlight w:val="none"/>
              </w:rPr>
              <w:t>3</w:t>
            </w:r>
          </w:p>
        </w:tc>
        <w:tc>
          <w:tcPr>
            <w:tcW w:w="1701" w:type="dxa"/>
            <w:tcBorders>
              <w:top w:val="single" w:color="000000" w:sz="4" w:space="0"/>
              <w:left w:val="single" w:color="000000" w:sz="4" w:space="0"/>
              <w:bottom w:val="single" w:color="000000" w:sz="4" w:space="0"/>
              <w:right w:val="single" w:color="auto" w:sz="4" w:space="0"/>
            </w:tcBorders>
            <w:vAlign w:val="center"/>
          </w:tcPr>
          <w:p>
            <w:pPr>
              <w:tabs>
                <w:tab w:val="left" w:pos="1050"/>
                <w:tab w:val="left" w:pos="1470"/>
              </w:tabs>
              <w:snapToGrid w:val="0"/>
              <w:spacing w:afterLines="0" w:line="400" w:lineRule="exact"/>
              <w:rPr>
                <w:rFonts w:hint="eastAsia" w:ascii="宋体" w:hAnsi="宋体" w:cs="宋体"/>
                <w:szCs w:val="21"/>
                <w:highlight w:val="none"/>
              </w:rPr>
            </w:pPr>
            <w:r>
              <w:rPr>
                <w:rFonts w:hint="eastAsia"/>
                <w:highlight w:val="none"/>
                <w:lang w:val="en-GB"/>
              </w:rPr>
              <w:t>综合交易服务费</w:t>
            </w:r>
          </w:p>
        </w:tc>
        <w:tc>
          <w:tcPr>
            <w:tcW w:w="6458" w:type="dxa"/>
            <w:tcBorders>
              <w:top w:val="single" w:color="000000" w:sz="4" w:space="0"/>
              <w:left w:val="single" w:color="auto" w:sz="4" w:space="0"/>
              <w:bottom w:val="single" w:color="000000" w:sz="4" w:space="0"/>
              <w:right w:val="single" w:color="000000" w:sz="4" w:space="0"/>
            </w:tcBorders>
            <w:vAlign w:val="center"/>
          </w:tcPr>
          <w:p>
            <w:pPr>
              <w:tabs>
                <w:tab w:val="left" w:pos="1050"/>
                <w:tab w:val="left" w:pos="1470"/>
              </w:tabs>
              <w:adjustRightInd w:val="0"/>
              <w:snapToGrid w:val="0"/>
              <w:spacing w:afterLines="0" w:line="400" w:lineRule="exact"/>
              <w:ind w:firstLine="420" w:firstLineChars="200"/>
              <w:rPr>
                <w:rFonts w:hint="eastAsia" w:ascii="宋体" w:hAnsi="宋体" w:cs="宋体"/>
                <w:szCs w:val="21"/>
                <w:highlight w:val="none"/>
              </w:rPr>
            </w:pPr>
            <w:r>
              <w:rPr>
                <w:rFonts w:hint="eastAsia" w:ascii="宋体" w:hAnsi="宋体"/>
                <w:kern w:val="0"/>
                <w:szCs w:val="21"/>
                <w:highlight w:val="none"/>
              </w:rPr>
              <w:t>按照重庆市物价局渝价〔2018〕54号文件规定，重庆联合产权交易所集团股份有限公司将向中标人全额收取交易服务费，交易服务费由中标人全额缴纳（含招标人须缴纳部分）。</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ascii="宋体" w:hAnsi="宋体" w:cs="宋体"/>
                <w:kern w:val="0"/>
                <w:szCs w:val="21"/>
                <w:highlight w:val="none"/>
              </w:rPr>
              <w:t>10.</w:t>
            </w:r>
            <w:r>
              <w:rPr>
                <w:rFonts w:hint="eastAsia" w:ascii="宋体" w:hAnsi="宋体" w:cs="宋体"/>
                <w:kern w:val="0"/>
                <w:szCs w:val="21"/>
                <w:highlight w:val="none"/>
              </w:rPr>
              <w:t>4</w:t>
            </w: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cs="宋体"/>
                <w:kern w:val="0"/>
                <w:szCs w:val="21"/>
                <w:highlight w:val="none"/>
              </w:rPr>
            </w:pPr>
            <w:r>
              <w:rPr>
                <w:rFonts w:hint="eastAsia" w:ascii="宋体" w:hAnsi="宋体" w:cs="宋体"/>
                <w:kern w:val="0"/>
                <w:szCs w:val="21"/>
                <w:highlight w:val="none"/>
              </w:rPr>
              <w:t>支付方式</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详见第四章合同条款及格式</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10.</w:t>
            </w:r>
            <w:r>
              <w:rPr>
                <w:rFonts w:hint="default" w:ascii="宋体" w:hAnsi="宋体" w:cs="宋体"/>
                <w:kern w:val="0"/>
                <w:szCs w:val="21"/>
                <w:highlight w:val="none"/>
                <w:lang w:val="en-US"/>
              </w:rPr>
              <w:t>5</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7"/>
              <w:spacing w:afterLines="0" w:line="400" w:lineRule="exact"/>
              <w:jc w:val="center"/>
              <w:rPr>
                <w:rFonts w:hint="eastAsia" w:hAnsi="宋体" w:eastAsia="等线" w:cs="宋体"/>
                <w:color w:val="auto"/>
                <w:sz w:val="21"/>
                <w:szCs w:val="21"/>
                <w:highlight w:val="none"/>
                <w:lang w:eastAsia="zh-CN"/>
              </w:rPr>
            </w:pPr>
            <w:r>
              <w:rPr>
                <w:rFonts w:hint="eastAsia" w:hAnsi="宋体"/>
                <w:color w:val="auto"/>
                <w:sz w:val="21"/>
                <w:szCs w:val="21"/>
                <w:highlight w:val="none"/>
              </w:rPr>
              <w:t>其他</w:t>
            </w:r>
            <w:r>
              <w:rPr>
                <w:rFonts w:hint="default" w:hAnsi="宋体"/>
                <w:color w:val="auto"/>
                <w:sz w:val="21"/>
                <w:szCs w:val="21"/>
                <w:highlight w:val="none"/>
                <w:lang w:val="en-US"/>
              </w:rPr>
              <w:t>1</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招标人将进一步核查投标人在投标文件中提供的材料，若在评标期间发现投标人提供了虚假资料，其投标将被否决，其投标保证金不予退还；若在评标公示期间发现中标候选人在投标时提供了虚假资料，招标人将在上报监督部门批准后，取消其中标资格且其投标保证金不予退还；若在合同实施阶段发现承包人在投标时提供了虚假资料，招标人按合同相关条款处罚，给招标人造成损失的，承包人依法承担违约赔偿责任。</w:t>
            </w:r>
          </w:p>
          <w:p>
            <w:pPr>
              <w:adjustRightInd w:val="0"/>
              <w:snapToGrid w:val="0"/>
              <w:spacing w:afterLines="0"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2.在投标有效期内，投标人撤销投标文件的，其投标保证金不予退还。</w:t>
            </w:r>
          </w:p>
          <w:p>
            <w:pPr>
              <w:adjustRightInd w:val="0"/>
              <w:snapToGrid w:val="0"/>
              <w:spacing w:afterLines="0"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3.在投标有效期内，投标人无故放弃中标候选人资格的，其投标保证金不予退还，并将被列入招标人黑名单。</w:t>
            </w:r>
          </w:p>
          <w:p>
            <w:pPr>
              <w:adjustRightInd w:val="0"/>
              <w:snapToGrid w:val="0"/>
              <w:spacing w:afterLines="0"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4.中标人在收到中标通知书后，无正当理由不与招标人订立合同，在签订合同时向招标人提出附加条件，或者不按照招标文件要求提交履约保证金的，其投标保证金不予退还，并将被列入招标人黑名单。</w:t>
            </w:r>
          </w:p>
          <w:p>
            <w:pPr>
              <w:adjustRightInd w:val="0"/>
              <w:snapToGrid w:val="0"/>
              <w:spacing w:afterLines="0"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评标期间若发现投标人有围标、串标或以他人名义参加投标的，其投标将被否决，其投标保证金不予退还，并将被列入招标人黑名单；若在评标公示期间发现中标候选人有围标、串标或以他人名义参加投标的，招标人将在上报行政主管部门批准后，取消其中标资格且其投标保证金不予退还，并将被列入招标人黑名单；若在合同实施阶段发现承包人在投标时有围标、串标或以他人名义参加投标的，招标人按合同相关条款处罚并上报行政主管部门，给招标人造成损失的，承包人依法承担违约赔偿责任，并将被列入招标人黑名单。</w:t>
            </w:r>
          </w:p>
          <w:p>
            <w:pPr>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rPr>
              <w:t>注：黑名单有效期3年，被列入黑名单的单位在黑名单有效期内禁止参与招标人的项目投标。</w:t>
            </w:r>
          </w:p>
        </w:tc>
      </w:tr>
      <w:tr>
        <w:tblPrEx>
          <w:tblLayout w:type="fixed"/>
          <w:tblCellMar>
            <w:top w:w="0" w:type="dxa"/>
            <w:left w:w="0" w:type="dxa"/>
            <w:bottom w:w="0" w:type="dxa"/>
            <w:right w:w="0" w:type="dxa"/>
          </w:tblCellMar>
        </w:tblPrEx>
        <w:trPr>
          <w:jc w:val="center"/>
        </w:trPr>
        <w:tc>
          <w:tcPr>
            <w:tcW w:w="1164" w:type="dxa"/>
            <w:tcBorders>
              <w:top w:val="single" w:color="000000" w:sz="4" w:space="0"/>
              <w:left w:val="single" w:color="000000" w:sz="4" w:space="0"/>
              <w:bottom w:val="single" w:color="000000" w:sz="4" w:space="0"/>
              <w:right w:val="single" w:color="000000" w:sz="4" w:space="0"/>
            </w:tcBorders>
            <w:vAlign w:val="center"/>
          </w:tcPr>
          <w:p>
            <w:pPr>
              <w:snapToGrid w:val="0"/>
              <w:spacing w:afterLines="0" w:line="40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10.</w:t>
            </w:r>
            <w:r>
              <w:rPr>
                <w:rFonts w:hint="default" w:ascii="宋体" w:hAnsi="宋体" w:cs="宋体"/>
                <w:kern w:val="0"/>
                <w:szCs w:val="21"/>
                <w:highlight w:val="none"/>
                <w:lang w:val="en-US"/>
              </w:rPr>
              <w:t>6</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7"/>
              <w:spacing w:afterLines="0" w:line="400" w:lineRule="exact"/>
              <w:jc w:val="center"/>
              <w:rPr>
                <w:rFonts w:hint="eastAsia" w:hAnsi="宋体" w:eastAsia="等线" w:cs="宋体"/>
                <w:color w:val="auto"/>
                <w:sz w:val="21"/>
                <w:szCs w:val="21"/>
                <w:highlight w:val="none"/>
                <w:lang w:eastAsia="zh-CN"/>
              </w:rPr>
            </w:pPr>
            <w:r>
              <w:rPr>
                <w:rFonts w:hint="eastAsia" w:hAnsi="宋体"/>
                <w:color w:val="auto"/>
                <w:sz w:val="21"/>
                <w:szCs w:val="21"/>
                <w:highlight w:val="none"/>
              </w:rPr>
              <w:t>其他</w:t>
            </w:r>
            <w:r>
              <w:rPr>
                <w:rFonts w:hint="default" w:hAnsi="宋体"/>
                <w:color w:val="auto"/>
                <w:sz w:val="21"/>
                <w:szCs w:val="21"/>
                <w:highlight w:val="none"/>
                <w:lang w:val="en-US"/>
              </w:rPr>
              <w:t>2</w:t>
            </w:r>
          </w:p>
        </w:tc>
        <w:tc>
          <w:tcPr>
            <w:tcW w:w="645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afterLines="0" w:line="40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rPr>
              <w:t>“投标人须知前附表”是“投标人须知”正文相应条款针对本项目的具体修改和补充，《投标人须知》正文部分与《投标人须知前附表》不一致时，以《投标人须知前附表》的规定为准；若有补遗澄清说明的，则以补遗澄清说明为准。</w:t>
            </w:r>
          </w:p>
        </w:tc>
      </w:tr>
    </w:tbl>
    <w:p>
      <w:pPr>
        <w:pStyle w:val="3"/>
        <w:adjustRightInd w:val="0"/>
        <w:snapToGrid w:val="0"/>
        <w:spacing w:before="0" w:after="0" w:line="360" w:lineRule="auto"/>
        <w:ind w:firstLine="0" w:firstLineChars="0"/>
        <w:rPr>
          <w:rFonts w:hint="eastAsia" w:ascii="宋体" w:hAnsi="宋体"/>
          <w:color w:val="auto"/>
          <w:szCs w:val="21"/>
          <w:highlight w:val="none"/>
          <w:lang w:eastAsia="zh-CN"/>
        </w:rPr>
      </w:pPr>
      <w:r>
        <w:rPr>
          <w:rFonts w:hint="eastAsia"/>
          <w:color w:val="auto"/>
          <w:highlight w:val="none"/>
          <w:lang w:eastAsia="zh-CN"/>
        </w:rPr>
        <w:br w:type="page"/>
      </w:r>
      <w:bookmarkStart w:id="22" w:name="_Toc14244"/>
      <w:bookmarkStart w:id="23" w:name="_Toc4140"/>
      <w:bookmarkStart w:id="24" w:name="_Toc2683"/>
      <w:bookmarkStart w:id="25" w:name="_Toc25686"/>
      <w:r>
        <w:rPr>
          <w:rFonts w:hint="eastAsia" w:ascii="宋体" w:hAnsi="宋体"/>
          <w:color w:val="auto"/>
          <w:szCs w:val="21"/>
          <w:highlight w:val="none"/>
          <w:lang w:eastAsia="zh-CN"/>
        </w:rPr>
        <w:t>1. 总则</w:t>
      </w:r>
      <w:bookmarkEnd w:id="22"/>
      <w:bookmarkEnd w:id="23"/>
      <w:bookmarkEnd w:id="24"/>
      <w:bookmarkEnd w:id="25"/>
    </w:p>
    <w:p>
      <w:pPr>
        <w:pStyle w:val="5"/>
        <w:adjustRightInd w:val="0"/>
        <w:snapToGrid w:val="0"/>
        <w:spacing w:before="0" w:after="0" w:line="360" w:lineRule="auto"/>
        <w:rPr>
          <w:rFonts w:hint="eastAsia" w:ascii="宋体" w:hAnsi="宋体" w:cs="宋体"/>
          <w:kern w:val="0"/>
          <w:szCs w:val="21"/>
          <w:highlight w:val="none"/>
        </w:rPr>
      </w:pPr>
      <w:bookmarkStart w:id="26" w:name="_Toc26432"/>
      <w:r>
        <w:rPr>
          <w:rFonts w:hint="eastAsia" w:ascii="宋体" w:hAnsi="宋体" w:cs="宋体"/>
          <w:kern w:val="0"/>
          <w:szCs w:val="21"/>
          <w:highlight w:val="none"/>
        </w:rPr>
        <w:t>1.1 招标项目概况</w:t>
      </w:r>
      <w:bookmarkEnd w:id="26"/>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1.1.1 根据《中华人民共和国招标投标法》、《中华人民共和国招标投标法实施条例》等有关法律、法规和规章的规定，本招标项目已具备招标条件，现对本项目进行招标。</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 招标人：见投标人须知前附表。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1.1.3 招标代理机构：见投标人须知前附表。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1.1.4 招标项目名称：见投标人须知前附表。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1.1.5 项目地点：见投标人须知前附表。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1.1.6 项目规模：见投标人须知前附表。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1.1.7 项目投资估算：见投标人须知前附表。</w:t>
      </w:r>
    </w:p>
    <w:p>
      <w:pPr>
        <w:pStyle w:val="5"/>
        <w:adjustRightInd w:val="0"/>
        <w:snapToGrid w:val="0"/>
        <w:spacing w:before="0" w:after="0" w:line="360" w:lineRule="auto"/>
        <w:rPr>
          <w:rFonts w:hint="eastAsia" w:ascii="宋体" w:hAnsi="宋体" w:cs="宋体"/>
          <w:kern w:val="0"/>
          <w:szCs w:val="21"/>
          <w:highlight w:val="none"/>
        </w:rPr>
      </w:pPr>
      <w:bookmarkStart w:id="27" w:name="_Toc27418"/>
      <w:r>
        <w:rPr>
          <w:rFonts w:hint="eastAsia" w:ascii="宋体" w:hAnsi="宋体" w:cs="宋体"/>
          <w:kern w:val="0"/>
          <w:szCs w:val="21"/>
          <w:highlight w:val="none"/>
        </w:rPr>
        <w:t>1.2 招标项目的资金来源和落实情况</w:t>
      </w:r>
      <w:bookmarkEnd w:id="27"/>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资金来源：见投标人须知前附表。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资金落实情况：见投标人须知前附表。</w:t>
      </w:r>
    </w:p>
    <w:p>
      <w:pPr>
        <w:pStyle w:val="5"/>
        <w:adjustRightInd w:val="0"/>
        <w:snapToGrid w:val="0"/>
        <w:spacing w:before="0" w:after="0" w:line="360" w:lineRule="auto"/>
        <w:rPr>
          <w:rFonts w:hint="eastAsia" w:ascii="宋体" w:hAnsi="宋体" w:cs="宋体"/>
          <w:kern w:val="0"/>
          <w:szCs w:val="21"/>
          <w:highlight w:val="none"/>
        </w:rPr>
      </w:pPr>
      <w:bookmarkStart w:id="28" w:name="_Toc2556"/>
      <w:r>
        <w:rPr>
          <w:rFonts w:hint="eastAsia" w:ascii="宋体" w:hAnsi="宋体" w:cs="宋体"/>
          <w:kern w:val="0"/>
          <w:szCs w:val="21"/>
          <w:highlight w:val="none"/>
        </w:rPr>
        <w:t>1.3 招标范围、服务期限和质量标准</w:t>
      </w:r>
      <w:bookmarkEnd w:id="28"/>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招标范围：见投标人须知前附表。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1.3.2 服务期限：见投标人须知前附表。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1.3.3 质量标准：见投标人须知前附表。</w:t>
      </w:r>
    </w:p>
    <w:p>
      <w:pPr>
        <w:pStyle w:val="5"/>
        <w:adjustRightInd w:val="0"/>
        <w:snapToGrid w:val="0"/>
        <w:spacing w:before="0" w:after="0" w:line="360" w:lineRule="auto"/>
        <w:rPr>
          <w:rFonts w:hint="eastAsia" w:ascii="宋体" w:hAnsi="宋体" w:cs="宋体"/>
          <w:kern w:val="0"/>
          <w:szCs w:val="21"/>
          <w:highlight w:val="none"/>
        </w:rPr>
      </w:pPr>
      <w:bookmarkStart w:id="29" w:name="_Toc7415"/>
      <w:r>
        <w:rPr>
          <w:rFonts w:hint="eastAsia" w:ascii="宋体" w:hAnsi="宋体" w:cs="宋体"/>
          <w:kern w:val="0"/>
          <w:szCs w:val="21"/>
          <w:highlight w:val="none"/>
        </w:rPr>
        <w:t>1.4 投标人资格要求</w:t>
      </w:r>
      <w:bookmarkEnd w:id="29"/>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投标人应具备承担本招标项目资质条件、能力和信誉：见投标人须知前附表。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需要提交的相关证明材料见本章第3.5款的规定。</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w:t>
      </w:r>
      <w:r>
        <w:rPr>
          <w:rFonts w:hint="eastAsia" w:ascii="宋体" w:hAnsi="宋体" w:cs="宋体"/>
          <w:kern w:val="0"/>
          <w:szCs w:val="21"/>
          <w:highlight w:val="none"/>
          <w:lang w:val="en-US" w:eastAsia="zh-CN"/>
        </w:rPr>
        <w:t>2</w:t>
      </w:r>
      <w:r>
        <w:rPr>
          <w:rFonts w:hint="eastAsia" w:ascii="宋体" w:hAnsi="宋体" w:cs="宋体"/>
          <w:kern w:val="0"/>
          <w:szCs w:val="21"/>
          <w:highlight w:val="none"/>
        </w:rPr>
        <w:t xml:space="preserve"> 投标人不得存在下列情形之一：</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（1）为招标人不具有独立法人资格的附属机构（单位）；</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（2）与招标人存在利害关系且可能影响招标公正性；</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（3）与本招标项目的其他投标人为同一个单位负责人；</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（4）与本招标项目的其他投标人存在控股、管理关系；</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（5）为本招标项目的代建人；</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（6）为本招标项目的招标代理机构；</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（7）与本招标项目的代建人或招标代理机构同为一个法定代表人；</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（8）与本招标项目的代建人或招标代理机构存在控股或参股关系；</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（9）被依法暂停或者取消投标资格；</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（10）被责令停产停业、暂扣或者吊销许可证、暂扣或者吊销执照；</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（11）进入清算程序，或被宣告破产，或其他丧失履约能力的情形；</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（12）在最近三年内发生重大设计质量问题（以相关行业主管部门的行政处罚决定或司法机关出具的有关法律文书为准）；</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（13）被工商行政管理机关在全国企业信用信息公示系统中列入严重违法失信企业名单；</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（14）被最高人民法院在“信用中国”网站（www.creditchina.gov.cn）或各级信用信息共享平台中列入失信被执行人名单；</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（15）在近三年内投标人或其法定代表人、拟委任的项目负责人有行贿犯罪行为的（以检察机关职务犯罪预防部门出具的查询结果为准）；</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（16）法律法规或投标人须知前附表规定的其他情形。</w:t>
      </w:r>
    </w:p>
    <w:p>
      <w:pPr>
        <w:pStyle w:val="5"/>
        <w:adjustRightInd w:val="0"/>
        <w:snapToGrid w:val="0"/>
        <w:spacing w:before="0" w:after="0" w:line="360" w:lineRule="auto"/>
        <w:rPr>
          <w:rFonts w:hint="eastAsia" w:ascii="宋体" w:hAnsi="宋体" w:cs="宋体"/>
          <w:kern w:val="0"/>
          <w:szCs w:val="21"/>
          <w:highlight w:val="none"/>
        </w:rPr>
      </w:pPr>
      <w:bookmarkStart w:id="30" w:name="_Toc2124"/>
      <w:r>
        <w:rPr>
          <w:rFonts w:hint="eastAsia" w:ascii="宋体" w:hAnsi="宋体" w:cs="宋体"/>
          <w:kern w:val="0"/>
          <w:szCs w:val="21"/>
          <w:highlight w:val="none"/>
        </w:rPr>
        <w:t>1.5 费用承担</w:t>
      </w:r>
      <w:bookmarkEnd w:id="30"/>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投标人准备和参加投标活动发生的费用自理。</w:t>
      </w:r>
    </w:p>
    <w:p>
      <w:pPr>
        <w:pStyle w:val="5"/>
        <w:adjustRightInd w:val="0"/>
        <w:snapToGrid w:val="0"/>
        <w:spacing w:before="0" w:after="0" w:line="360" w:lineRule="auto"/>
        <w:rPr>
          <w:rFonts w:hint="eastAsia" w:ascii="宋体" w:hAnsi="宋体" w:cs="宋体"/>
          <w:kern w:val="0"/>
          <w:szCs w:val="21"/>
          <w:highlight w:val="none"/>
        </w:rPr>
      </w:pPr>
      <w:bookmarkStart w:id="31" w:name="_Toc16361"/>
      <w:r>
        <w:rPr>
          <w:rFonts w:hint="eastAsia" w:ascii="宋体" w:hAnsi="宋体" w:cs="宋体"/>
          <w:kern w:val="0"/>
          <w:szCs w:val="21"/>
          <w:highlight w:val="none"/>
        </w:rPr>
        <w:t>1.6 保密</w:t>
      </w:r>
      <w:bookmarkEnd w:id="31"/>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参与招标投标活动的各方应对招标文件和投标文件中的商业和技术等秘密保密，否则应承担相应的法律责任。</w:t>
      </w:r>
    </w:p>
    <w:p>
      <w:pPr>
        <w:pStyle w:val="5"/>
        <w:adjustRightInd w:val="0"/>
        <w:snapToGrid w:val="0"/>
        <w:spacing w:before="0" w:after="0" w:line="360" w:lineRule="auto"/>
        <w:rPr>
          <w:rFonts w:hint="eastAsia" w:ascii="宋体" w:hAnsi="宋体" w:cs="宋体"/>
          <w:kern w:val="0"/>
          <w:szCs w:val="21"/>
          <w:highlight w:val="none"/>
        </w:rPr>
      </w:pPr>
      <w:bookmarkStart w:id="32" w:name="_Toc14577"/>
      <w:r>
        <w:rPr>
          <w:rFonts w:hint="eastAsia" w:ascii="宋体" w:hAnsi="宋体" w:cs="宋体"/>
          <w:kern w:val="0"/>
          <w:szCs w:val="21"/>
          <w:highlight w:val="none"/>
        </w:rPr>
        <w:t>1.7 语言文字</w:t>
      </w:r>
      <w:bookmarkEnd w:id="32"/>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招标投标文件使用的语言文字为中文。专用术语使用外文的，应附有中文注释。</w:t>
      </w:r>
    </w:p>
    <w:p>
      <w:pPr>
        <w:pStyle w:val="5"/>
        <w:adjustRightInd w:val="0"/>
        <w:snapToGrid w:val="0"/>
        <w:spacing w:before="0" w:after="0" w:line="360" w:lineRule="auto"/>
        <w:rPr>
          <w:rFonts w:hint="eastAsia" w:ascii="宋体" w:hAnsi="宋体" w:cs="宋体"/>
          <w:kern w:val="0"/>
          <w:szCs w:val="21"/>
          <w:highlight w:val="none"/>
        </w:rPr>
      </w:pPr>
      <w:bookmarkStart w:id="33" w:name="_Toc2095"/>
      <w:r>
        <w:rPr>
          <w:rFonts w:hint="eastAsia" w:ascii="宋体" w:hAnsi="宋体" w:cs="宋体"/>
          <w:kern w:val="0"/>
          <w:szCs w:val="21"/>
          <w:highlight w:val="none"/>
        </w:rPr>
        <w:t>1.8 计量单位</w:t>
      </w:r>
      <w:bookmarkEnd w:id="33"/>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所有计量均采用中华人民共和国法定计量单位。</w:t>
      </w:r>
    </w:p>
    <w:p>
      <w:pPr>
        <w:pStyle w:val="5"/>
        <w:adjustRightInd w:val="0"/>
        <w:snapToGrid w:val="0"/>
        <w:spacing w:before="0" w:after="0" w:line="360" w:lineRule="auto"/>
        <w:rPr>
          <w:rFonts w:hint="eastAsia" w:ascii="宋体" w:hAnsi="宋体" w:cs="宋体"/>
          <w:kern w:val="0"/>
          <w:szCs w:val="21"/>
          <w:highlight w:val="none"/>
        </w:rPr>
      </w:pPr>
      <w:bookmarkStart w:id="34" w:name="_Toc23968"/>
      <w:r>
        <w:rPr>
          <w:rFonts w:hint="eastAsia" w:ascii="宋体" w:hAnsi="宋体" w:cs="宋体"/>
          <w:kern w:val="0"/>
          <w:szCs w:val="21"/>
          <w:highlight w:val="none"/>
        </w:rPr>
        <w:t>1.9 踏勘现场</w:t>
      </w:r>
      <w:bookmarkEnd w:id="34"/>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1.9.2 投标人踏勘现场发生的费用自理。</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1.9.3 除招标人的原因外，投标人自行负责在踏勘现场中所发生的人员伤亡和财产损失。</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1.9.4 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1.9.5 招标人提供的本项目的相关参考资料，并不构成合同文件的组成部分，投标人应对上述资料的解释、推论和应用负责，招标人不对投标人据此作出的判断和决策承担任何责任。</w:t>
      </w:r>
    </w:p>
    <w:p>
      <w:pPr>
        <w:pStyle w:val="5"/>
        <w:adjustRightInd w:val="0"/>
        <w:snapToGrid w:val="0"/>
        <w:spacing w:before="0" w:after="0" w:line="360" w:lineRule="auto"/>
        <w:rPr>
          <w:rFonts w:hint="eastAsia" w:ascii="宋体" w:hAnsi="宋体" w:cs="宋体"/>
          <w:kern w:val="0"/>
          <w:szCs w:val="21"/>
          <w:highlight w:val="none"/>
        </w:rPr>
      </w:pPr>
      <w:bookmarkStart w:id="35" w:name="_Toc32059"/>
      <w:r>
        <w:rPr>
          <w:rFonts w:hint="eastAsia" w:ascii="宋体" w:hAnsi="宋体" w:cs="宋体"/>
          <w:kern w:val="0"/>
          <w:szCs w:val="21"/>
          <w:highlight w:val="none"/>
        </w:rPr>
        <w:t>1.10 投标预备会</w:t>
      </w:r>
      <w:bookmarkEnd w:id="35"/>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1.10.2 </w:t>
      </w:r>
      <w:r>
        <w:rPr>
          <w:rFonts w:hint="eastAsia" w:ascii="宋体" w:hAnsi="宋体" w:cs="宋体"/>
          <w:snapToGrid w:val="0"/>
          <w:kern w:val="0"/>
          <w:szCs w:val="21"/>
          <w:highlight w:val="none"/>
        </w:rPr>
        <w:t xml:space="preserve"> 投标人应在投标人须知前附表规定的时间前，以书面形式将提出的问题送达招标人，以便招标人澄清</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1.10.3 </w:t>
      </w:r>
      <w:r>
        <w:rPr>
          <w:rFonts w:hint="eastAsia" w:ascii="宋体" w:hAnsi="宋体" w:cs="宋体"/>
          <w:snapToGrid w:val="0"/>
          <w:kern w:val="0"/>
          <w:szCs w:val="21"/>
          <w:highlight w:val="none"/>
        </w:rPr>
        <w:t>招标人在投标人须知前附表规定的时间内，将对投标人所提的问题进行澄清。该澄清内容为招标文件的组成部分。</w:t>
      </w:r>
    </w:p>
    <w:p>
      <w:pPr>
        <w:pStyle w:val="5"/>
        <w:adjustRightInd w:val="0"/>
        <w:snapToGrid w:val="0"/>
        <w:spacing w:before="0" w:after="0" w:line="360" w:lineRule="auto"/>
        <w:rPr>
          <w:rFonts w:hint="eastAsia" w:ascii="宋体" w:hAnsi="宋体" w:cs="宋体"/>
          <w:kern w:val="0"/>
          <w:szCs w:val="21"/>
          <w:highlight w:val="none"/>
        </w:rPr>
      </w:pPr>
      <w:bookmarkStart w:id="36" w:name="_Toc16980"/>
      <w:r>
        <w:rPr>
          <w:rFonts w:hint="eastAsia" w:ascii="宋体" w:hAnsi="宋体" w:cs="宋体"/>
          <w:kern w:val="0"/>
          <w:szCs w:val="21"/>
          <w:highlight w:val="none"/>
        </w:rPr>
        <w:t>1.11 分包</w:t>
      </w:r>
      <w:bookmarkEnd w:id="36"/>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1.11.1 投标人拟在中标后将中标项目的非主体、非关键性服务工作进行分包的，应符合投标人须知前附表规定的分包内容、分包金额和资质要求等限制性条件，除投标人须知前附表规定的非主体、非关键性服务工作外，其他工作不得分包。</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1.11.2 中标人不得向他人转让中标项目，接受分包的人不得再次分包。中标人应当就分包项目向招标人负责，接受分包的人就分包项目承担连带责任。</w:t>
      </w:r>
    </w:p>
    <w:p>
      <w:pPr>
        <w:pStyle w:val="5"/>
        <w:adjustRightInd w:val="0"/>
        <w:snapToGrid w:val="0"/>
        <w:spacing w:before="0" w:after="0" w:line="360" w:lineRule="auto"/>
        <w:rPr>
          <w:rFonts w:hint="eastAsia" w:ascii="宋体" w:hAnsi="宋体" w:cs="宋体"/>
          <w:kern w:val="0"/>
          <w:szCs w:val="21"/>
          <w:highlight w:val="none"/>
        </w:rPr>
      </w:pPr>
      <w:bookmarkStart w:id="37" w:name="_Toc15424"/>
      <w:r>
        <w:rPr>
          <w:rFonts w:hint="eastAsia" w:ascii="宋体" w:hAnsi="宋体" w:cs="宋体"/>
          <w:kern w:val="0"/>
          <w:szCs w:val="21"/>
          <w:highlight w:val="none"/>
        </w:rPr>
        <w:t>1.12 响应和偏差</w:t>
      </w:r>
      <w:bookmarkEnd w:id="37"/>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1.12.1 投标文件应当对招标文件的实质性要求和条件作出满足性或更有利于招标人的响应，实质性要求和条件见投标人须知前附表。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1.12.2 投标人应根据招标文件的要求提供投标服务方案等内容以对招标文件作出响应。</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1.12.3 投标人须知前附表允许投标文件偏离招标文件某些要求的，偏差应当符合招标文件规定的偏差范围和幅度。</w:t>
      </w:r>
    </w:p>
    <w:p>
      <w:pPr>
        <w:pStyle w:val="18"/>
        <w:adjustRightInd w:val="0"/>
        <w:snapToGrid w:val="0"/>
        <w:spacing w:before="0" w:beforeLines="0" w:after="0" w:afterLines="0"/>
        <w:rPr>
          <w:rFonts w:hint="eastAsia" w:ascii="宋体" w:hAnsi="宋体" w:cs="宋体"/>
          <w:kern w:val="0"/>
          <w:sz w:val="21"/>
          <w:szCs w:val="21"/>
          <w:highlight w:val="none"/>
        </w:rPr>
      </w:pPr>
      <w:bookmarkStart w:id="38" w:name="_Toc6593"/>
      <w:bookmarkStart w:id="39" w:name="_Toc5128"/>
      <w:bookmarkStart w:id="40" w:name="_Toc28114"/>
      <w:bookmarkStart w:id="41" w:name="_Toc5309"/>
      <w:r>
        <w:rPr>
          <w:rFonts w:hint="eastAsia" w:ascii="宋体" w:hAnsi="宋体" w:cs="宋体"/>
          <w:kern w:val="0"/>
          <w:sz w:val="21"/>
          <w:szCs w:val="21"/>
          <w:highlight w:val="none"/>
        </w:rPr>
        <w:t>2. 招标文件</w:t>
      </w:r>
      <w:bookmarkEnd w:id="38"/>
      <w:bookmarkEnd w:id="39"/>
      <w:bookmarkEnd w:id="40"/>
      <w:bookmarkEnd w:id="41"/>
    </w:p>
    <w:p>
      <w:pPr>
        <w:pStyle w:val="5"/>
        <w:adjustRightInd w:val="0"/>
        <w:snapToGrid w:val="0"/>
        <w:spacing w:before="0" w:after="0" w:line="360" w:lineRule="auto"/>
        <w:rPr>
          <w:rFonts w:hint="eastAsia" w:ascii="宋体" w:hAnsi="宋体" w:cs="宋体"/>
          <w:kern w:val="0"/>
          <w:szCs w:val="21"/>
          <w:highlight w:val="none"/>
        </w:rPr>
      </w:pPr>
      <w:bookmarkStart w:id="42" w:name="_Toc6265"/>
      <w:r>
        <w:rPr>
          <w:rFonts w:hint="eastAsia" w:ascii="宋体" w:hAnsi="宋体" w:cs="宋体"/>
          <w:kern w:val="0"/>
          <w:szCs w:val="21"/>
          <w:highlight w:val="none"/>
        </w:rPr>
        <w:t>2.1 招标文件的组成</w:t>
      </w:r>
      <w:bookmarkEnd w:id="42"/>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本招标文件包括：</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（1）招标公告（或投标邀请书）；</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（2）投标人须知；</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（3）评标办法；</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（4）合同条款及格式；</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（5）技术标准和要求；</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（6）投标文件格式；</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（7）投标人须知前附表规定的其他资料。</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根据本章第1.10款、第2.2款和第2.3款对招标文件所作的澄清、修改，构成招标文件的组成部分。</w:t>
      </w:r>
    </w:p>
    <w:p>
      <w:pPr>
        <w:pStyle w:val="5"/>
        <w:adjustRightInd w:val="0"/>
        <w:snapToGrid w:val="0"/>
        <w:spacing w:before="0" w:after="0" w:line="360" w:lineRule="auto"/>
        <w:rPr>
          <w:rFonts w:hint="eastAsia" w:ascii="宋体" w:hAnsi="宋体" w:cs="宋体"/>
          <w:kern w:val="0"/>
          <w:szCs w:val="21"/>
          <w:highlight w:val="none"/>
        </w:rPr>
      </w:pPr>
      <w:bookmarkStart w:id="43" w:name="_Toc4726"/>
      <w:r>
        <w:rPr>
          <w:rFonts w:hint="eastAsia" w:ascii="宋体" w:hAnsi="宋体" w:cs="宋体"/>
          <w:kern w:val="0"/>
          <w:szCs w:val="21"/>
          <w:highlight w:val="none"/>
        </w:rPr>
        <w:t>2.2 招标文件的澄清</w:t>
      </w:r>
      <w:bookmarkEnd w:id="43"/>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2.2.1 </w:t>
      </w:r>
      <w:r>
        <w:rPr>
          <w:rFonts w:hint="eastAsia" w:ascii="宋体" w:hAnsi="宋体" w:cs="宋体"/>
          <w:snapToGrid w:val="0"/>
          <w:kern w:val="0"/>
          <w:szCs w:val="21"/>
          <w:highlight w:val="none"/>
        </w:rPr>
        <w:t>投标人应仔细阅读和检查招标文件的全部内容。如发现缺页或附件不全，应及时向招标人提出，以便补齐。如有疑问，应在投标人须知前附表规定的时间前</w:t>
      </w:r>
      <w:r>
        <w:rPr>
          <w:rFonts w:hint="eastAsia" w:ascii="宋体" w:hAnsi="宋体" w:cs="宋体"/>
          <w:kern w:val="0"/>
          <w:szCs w:val="21"/>
          <w:highlight w:val="none"/>
        </w:rPr>
        <w:t>在相应法定网站提问</w:t>
      </w:r>
      <w:r>
        <w:rPr>
          <w:rFonts w:hint="eastAsia" w:ascii="宋体" w:hAnsi="宋体" w:cs="宋体"/>
          <w:snapToGrid w:val="0"/>
          <w:kern w:val="0"/>
          <w:szCs w:val="21"/>
          <w:highlight w:val="none"/>
        </w:rPr>
        <w:t>，要求招标人对招标文件予以澄清。</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2.2.2 </w:t>
      </w:r>
      <w:r>
        <w:rPr>
          <w:rFonts w:hint="eastAsia" w:ascii="宋体" w:hAnsi="宋体" w:cs="宋体"/>
          <w:snapToGrid w:val="0"/>
          <w:kern w:val="0"/>
          <w:szCs w:val="21"/>
          <w:highlight w:val="none"/>
        </w:rPr>
        <w:t>招标文件的澄清将在投标人须知前附表规定的投标截止时间15天前</w:t>
      </w:r>
      <w:r>
        <w:rPr>
          <w:rFonts w:hint="eastAsia" w:ascii="宋体" w:hAnsi="宋体" w:cs="宋体"/>
          <w:kern w:val="0"/>
          <w:szCs w:val="21"/>
          <w:highlight w:val="none"/>
        </w:rPr>
        <w:t>在相应法定网站发布，</w:t>
      </w:r>
      <w:r>
        <w:rPr>
          <w:rFonts w:hint="eastAsia" w:ascii="宋体" w:hAnsi="宋体" w:cs="宋体"/>
          <w:snapToGrid w:val="0"/>
          <w:kern w:val="0"/>
          <w:szCs w:val="21"/>
          <w:highlight w:val="none"/>
        </w:rPr>
        <w:t>但不指明澄清问题的来源。如果澄清发出的时间距投标截止时间不足15天，相应延长投标截止时间。</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招标人对招标文件的</w:t>
      </w:r>
      <w:r>
        <w:rPr>
          <w:rFonts w:hint="eastAsia" w:ascii="宋体" w:hAnsi="宋体" w:cs="宋体"/>
          <w:snapToGrid w:val="0"/>
          <w:kern w:val="0"/>
          <w:szCs w:val="21"/>
          <w:highlight w:val="none"/>
        </w:rPr>
        <w:t>修改内容可能影响投标文件编制的，须在投标截止时间15日前发布，发布时间至投标截止时间不足15日的，须相应延后投标截止时间。</w:t>
      </w:r>
    </w:p>
    <w:p>
      <w:pPr>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2.2.4 投标人对招标文件和澄清修改仍有异议的，可于投标截止时间10日前，以书面形式通知招标人或招标代理机构。招标人应将答复以修改的形式在相应法定网站发布。修改内容可能影响投标文件编制的，须在投标截止时间15日前发布，发布时间至投标截止时间不足15日的，须相应延后投标截止时间。</w:t>
      </w:r>
    </w:p>
    <w:p>
      <w:pPr>
        <w:pStyle w:val="5"/>
        <w:adjustRightInd w:val="0"/>
        <w:snapToGrid w:val="0"/>
        <w:spacing w:before="0" w:after="0" w:line="360" w:lineRule="auto"/>
        <w:rPr>
          <w:rFonts w:hint="eastAsia" w:ascii="宋体" w:hAnsi="宋体" w:cs="宋体"/>
          <w:kern w:val="0"/>
          <w:szCs w:val="21"/>
          <w:highlight w:val="none"/>
        </w:rPr>
      </w:pPr>
      <w:bookmarkStart w:id="44" w:name="_Toc20097"/>
      <w:r>
        <w:rPr>
          <w:rFonts w:hint="eastAsia" w:ascii="宋体" w:hAnsi="宋体" w:cs="宋体"/>
          <w:kern w:val="0"/>
          <w:szCs w:val="21"/>
          <w:highlight w:val="none"/>
        </w:rPr>
        <w:t>2.3 招标文件的修改</w:t>
      </w:r>
      <w:bookmarkEnd w:id="44"/>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snapToGrid w:val="0"/>
          <w:kern w:val="0"/>
          <w:highlight w:val="none"/>
        </w:rPr>
        <w:t>按照本章第2.2款招标文件的澄清相关内容及方式执行。</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45" w:name="_Toc10685"/>
      <w:bookmarkStart w:id="46" w:name="_Toc16503"/>
      <w:bookmarkStart w:id="47" w:name="_Toc7306"/>
      <w:bookmarkStart w:id="48" w:name="_Toc2972"/>
      <w:r>
        <w:rPr>
          <w:rFonts w:hint="eastAsia" w:ascii="宋体" w:hAnsi="宋体"/>
          <w:color w:val="auto"/>
          <w:szCs w:val="21"/>
          <w:highlight w:val="none"/>
          <w:lang w:eastAsia="zh-CN"/>
        </w:rPr>
        <w:t>3. 投标文件</w:t>
      </w:r>
      <w:bookmarkEnd w:id="45"/>
      <w:bookmarkEnd w:id="46"/>
      <w:bookmarkEnd w:id="47"/>
      <w:bookmarkEnd w:id="48"/>
    </w:p>
    <w:p>
      <w:pPr>
        <w:pStyle w:val="5"/>
        <w:adjustRightInd w:val="0"/>
        <w:snapToGrid w:val="0"/>
        <w:spacing w:before="0" w:after="0" w:line="360" w:lineRule="auto"/>
        <w:rPr>
          <w:rFonts w:hint="eastAsia" w:ascii="宋体" w:hAnsi="宋体" w:cs="宋体"/>
          <w:kern w:val="0"/>
          <w:szCs w:val="21"/>
          <w:highlight w:val="none"/>
        </w:rPr>
      </w:pPr>
      <w:bookmarkStart w:id="49" w:name="_Toc27493"/>
      <w:r>
        <w:rPr>
          <w:rFonts w:hint="eastAsia" w:ascii="宋体" w:hAnsi="宋体" w:cs="宋体"/>
          <w:kern w:val="0"/>
          <w:szCs w:val="21"/>
          <w:highlight w:val="none"/>
        </w:rPr>
        <w:t>3.1 投标文件的组成</w:t>
      </w:r>
      <w:bookmarkEnd w:id="49"/>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3.1.1 投标文件应包括下列内容：</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见投标文件格式。</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投标人在评标过程中作出的符合法律法规和招标文件规定的澄清确认，构成投标文件的组成部分。</w:t>
      </w:r>
    </w:p>
    <w:p>
      <w:pPr>
        <w:adjustRightInd w:val="0"/>
        <w:snapToGrid w:val="0"/>
        <w:spacing w:line="360" w:lineRule="auto"/>
        <w:ind w:firstLine="420" w:firstLineChars="200"/>
        <w:jc w:val="left"/>
        <w:rPr>
          <w:rFonts w:hint="eastAsia" w:ascii="宋体" w:hAnsi="宋体" w:cs="宋体"/>
          <w:kern w:val="0"/>
          <w:highlight w:val="none"/>
        </w:rPr>
      </w:pPr>
      <w:r>
        <w:rPr>
          <w:rFonts w:hint="eastAsia" w:ascii="宋体" w:hAnsi="宋体" w:cs="宋体"/>
          <w:kern w:val="0"/>
          <w:highlight w:val="none"/>
        </w:rPr>
        <w:t>3.1.2 投标人须知前附表规定不接受联合体投标的，或投标人没有组成联合体的，投标文件应不包括联合体协议书。</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highlight w:val="none"/>
        </w:rPr>
        <w:t>3.1.3 投标人须知前附表未要求提交投标保证金的，投标文件不包括投标保证金。</w:t>
      </w:r>
    </w:p>
    <w:p>
      <w:pPr>
        <w:pStyle w:val="5"/>
        <w:adjustRightInd w:val="0"/>
        <w:snapToGrid w:val="0"/>
        <w:spacing w:before="0" w:after="0" w:line="360" w:lineRule="auto"/>
        <w:rPr>
          <w:rFonts w:hint="eastAsia" w:ascii="宋体" w:hAnsi="宋体" w:cs="宋体"/>
          <w:kern w:val="0"/>
          <w:szCs w:val="21"/>
          <w:highlight w:val="none"/>
        </w:rPr>
      </w:pPr>
      <w:bookmarkStart w:id="50" w:name="_Toc21925"/>
      <w:r>
        <w:rPr>
          <w:rFonts w:hint="eastAsia" w:ascii="宋体" w:hAnsi="宋体" w:cs="宋体"/>
          <w:kern w:val="0"/>
          <w:szCs w:val="21"/>
          <w:highlight w:val="none"/>
        </w:rPr>
        <w:t>3.2 投标报价</w:t>
      </w:r>
      <w:bookmarkEnd w:id="50"/>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 投标报价应包括国家规定的增值税税金，除投标人须知前附表另有规定外，增值税税金按一般计税方法计算。投标人应按第六章“投标文件格式”的要求在投标函中进行报价。</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 投标人应充分了解该项目的总体情况以及影响投标报价的其他要素。</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 本项目的报价方式见投标人须知前附表。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3.2.5 投标报价的其他要求见投标人须知前附表。</w:t>
      </w:r>
    </w:p>
    <w:p>
      <w:pPr>
        <w:pStyle w:val="5"/>
        <w:adjustRightInd w:val="0"/>
        <w:snapToGrid w:val="0"/>
        <w:spacing w:before="0" w:after="0" w:line="360" w:lineRule="auto"/>
        <w:rPr>
          <w:rFonts w:hint="eastAsia" w:ascii="宋体" w:hAnsi="宋体" w:cs="宋体"/>
          <w:kern w:val="0"/>
          <w:szCs w:val="21"/>
          <w:highlight w:val="none"/>
        </w:rPr>
      </w:pPr>
      <w:bookmarkStart w:id="51" w:name="_Toc19806"/>
      <w:r>
        <w:rPr>
          <w:rFonts w:hint="eastAsia" w:ascii="宋体" w:hAnsi="宋体" w:cs="宋体"/>
          <w:kern w:val="0"/>
          <w:szCs w:val="21"/>
          <w:highlight w:val="none"/>
        </w:rPr>
        <w:t>3.3 投标有效期</w:t>
      </w:r>
      <w:bookmarkEnd w:id="51"/>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 除投标人须知前附表另有规定外，投标有效期为90天。</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 在投标有效期内，投标人撤销投标文件的，应承担招标文件和法律规定的责任。</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adjustRightInd w:val="0"/>
        <w:snapToGrid w:val="0"/>
        <w:spacing w:before="0" w:after="0" w:line="360" w:lineRule="auto"/>
        <w:rPr>
          <w:rFonts w:hint="eastAsia" w:ascii="宋体" w:hAnsi="宋体" w:cs="宋体"/>
          <w:kern w:val="0"/>
          <w:szCs w:val="21"/>
          <w:highlight w:val="none"/>
        </w:rPr>
      </w:pPr>
      <w:bookmarkStart w:id="52" w:name="_Toc20981"/>
      <w:r>
        <w:rPr>
          <w:rFonts w:hint="eastAsia" w:ascii="宋体" w:hAnsi="宋体" w:cs="宋体"/>
          <w:kern w:val="0"/>
          <w:szCs w:val="21"/>
          <w:highlight w:val="none"/>
        </w:rPr>
        <w:t>3.4 投标保证金</w:t>
      </w:r>
      <w:bookmarkEnd w:id="52"/>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3.4.1  投标人在递交投标文件的同时，应按投标人须知前附表的规定递交投标保证金，并作为其投标文件的组成部分。</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投标人不按本章第 3.4.1 项要求提交投标保证金的，其投标文件作否决投标处理。</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投标保证金（投标保函）退还：见投标人须知前附表。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3.4.4  有下列情形之一的，投标保证金将不予退还：</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（1）投标人在规定的投标有效期内撤销或修改其投标文件；</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（2）中标人在收到中标通知书后，无正当理由拒不与招标人签订合同，或未按招标文件规定提交履约担保；</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（3）法律法规规定的其他情形。</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3.4.5（1）投标保证金为无条件担保；</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（2）投标保证金的受益人为招标人。</w:t>
      </w:r>
    </w:p>
    <w:p>
      <w:pPr>
        <w:pStyle w:val="5"/>
        <w:adjustRightInd w:val="0"/>
        <w:snapToGrid w:val="0"/>
        <w:spacing w:before="0" w:after="0" w:line="360" w:lineRule="auto"/>
        <w:rPr>
          <w:rFonts w:hint="eastAsia" w:ascii="宋体" w:hAnsi="宋体" w:cs="宋体"/>
          <w:kern w:val="0"/>
          <w:szCs w:val="21"/>
          <w:highlight w:val="none"/>
        </w:rPr>
      </w:pPr>
      <w:bookmarkStart w:id="53" w:name="_Toc27227"/>
      <w:r>
        <w:rPr>
          <w:rFonts w:hint="eastAsia" w:ascii="宋体" w:hAnsi="宋体" w:cs="宋体"/>
          <w:kern w:val="0"/>
          <w:szCs w:val="21"/>
          <w:highlight w:val="none"/>
        </w:rPr>
        <w:t>3.5 资格审查资料</w:t>
      </w:r>
      <w:bookmarkEnd w:id="53"/>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投标人应附投标人须知前附表第1.4.1项中要求的相关证明材料。</w:t>
      </w:r>
    </w:p>
    <w:p>
      <w:pPr>
        <w:pStyle w:val="5"/>
        <w:adjustRightInd w:val="0"/>
        <w:snapToGrid w:val="0"/>
        <w:spacing w:before="0" w:after="0" w:line="360" w:lineRule="auto"/>
        <w:rPr>
          <w:rFonts w:hint="eastAsia" w:ascii="宋体" w:hAnsi="宋体" w:cs="宋体"/>
          <w:kern w:val="0"/>
          <w:szCs w:val="21"/>
          <w:highlight w:val="none"/>
        </w:rPr>
      </w:pPr>
      <w:bookmarkStart w:id="54" w:name="_Toc14774"/>
      <w:r>
        <w:rPr>
          <w:rFonts w:hint="eastAsia" w:ascii="宋体" w:hAnsi="宋体" w:cs="宋体"/>
          <w:kern w:val="0"/>
          <w:szCs w:val="21"/>
          <w:highlight w:val="none"/>
        </w:rPr>
        <w:t>3.6 备选投标方案</w:t>
      </w:r>
      <w:bookmarkEnd w:id="54"/>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3.6.1 除投标人须知前附表规定允许外，投标人不得递交备选投标方案，否则其投标将被否决。</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3.6.3 投标人提供两个或两个以上投标报价，或者在投标文件中提供一个报价，但同时提供两个或两个以上服务方案的，视为提供备选方案。</w:t>
      </w:r>
    </w:p>
    <w:p>
      <w:pPr>
        <w:pStyle w:val="5"/>
        <w:adjustRightInd w:val="0"/>
        <w:snapToGrid w:val="0"/>
        <w:spacing w:before="0" w:after="0" w:line="360" w:lineRule="auto"/>
        <w:rPr>
          <w:rFonts w:hint="eastAsia" w:ascii="宋体" w:hAnsi="宋体" w:cs="宋体"/>
          <w:kern w:val="0"/>
          <w:szCs w:val="21"/>
          <w:highlight w:val="none"/>
        </w:rPr>
      </w:pPr>
      <w:bookmarkStart w:id="55" w:name="_Toc7356"/>
      <w:r>
        <w:rPr>
          <w:rFonts w:hint="eastAsia" w:ascii="宋体" w:hAnsi="宋体" w:cs="宋体"/>
          <w:kern w:val="0"/>
          <w:szCs w:val="21"/>
          <w:highlight w:val="none"/>
        </w:rPr>
        <w:t>3.7 投标文件的编制</w:t>
      </w:r>
      <w:bookmarkEnd w:id="55"/>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3.7.1 投标文件应按第六章“投标文件格式”进行编写，如有必要，可以增加附页，作为投标文件的组成部分。</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3.7.2 投标文件应当对招标文件有关服务期限、投标有效期、技术标准和要求、招标范围等实质性内容作出响应。投标文件在满足招标文件实质性要求的基础上，可以提出比招标文件要求更有利于招标人的承诺。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3.7.3  投标文件的签名盖章要求：按本章投标人须知前附表第3.7.3项执行。</w:t>
      </w:r>
    </w:p>
    <w:p>
      <w:pPr>
        <w:autoSpaceDE w:val="0"/>
        <w:autoSpaceDN w:val="0"/>
        <w:adjustRightInd w:val="0"/>
        <w:snapToGrid w:val="0"/>
        <w:spacing w:line="360" w:lineRule="auto"/>
        <w:ind w:firstLine="420" w:firstLineChars="200"/>
        <w:jc w:val="left"/>
        <w:rPr>
          <w:rFonts w:hint="eastAsia" w:ascii="宋体" w:hAnsi="宋体" w:cs="宋体"/>
          <w:i/>
          <w:snapToGrid w:val="0"/>
          <w:kern w:val="0"/>
          <w:szCs w:val="21"/>
          <w:highlight w:val="none"/>
        </w:rPr>
      </w:pPr>
      <w:r>
        <w:rPr>
          <w:rFonts w:hint="eastAsia" w:ascii="宋体" w:hAnsi="宋体" w:cs="宋体"/>
          <w:snapToGrid w:val="0"/>
          <w:kern w:val="0"/>
          <w:szCs w:val="21"/>
          <w:highlight w:val="none"/>
        </w:rPr>
        <w:t>3.7.4  投标文件的份数：见投标人须知前附表。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snapToGrid w:val="0"/>
          <w:kern w:val="0"/>
          <w:szCs w:val="21"/>
          <w:highlight w:val="none"/>
        </w:rPr>
        <w:t>3.7.5  投标文件的正本与副本应分别装订成册，并编制目录，具体装订要求见投标人须知前附表规定。</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56" w:name="_Toc8772"/>
      <w:bookmarkStart w:id="57" w:name="_Toc3518"/>
      <w:bookmarkStart w:id="58" w:name="_Toc5100"/>
      <w:bookmarkStart w:id="59" w:name="_Toc21973"/>
      <w:r>
        <w:rPr>
          <w:rFonts w:hint="eastAsia" w:ascii="宋体" w:hAnsi="宋体"/>
          <w:color w:val="auto"/>
          <w:szCs w:val="21"/>
          <w:highlight w:val="none"/>
          <w:lang w:eastAsia="zh-CN"/>
        </w:rPr>
        <w:t>4. 投标</w:t>
      </w:r>
      <w:bookmarkEnd w:id="56"/>
      <w:bookmarkEnd w:id="57"/>
      <w:bookmarkEnd w:id="58"/>
      <w:bookmarkEnd w:id="59"/>
    </w:p>
    <w:p>
      <w:pPr>
        <w:pStyle w:val="5"/>
        <w:adjustRightInd w:val="0"/>
        <w:snapToGrid w:val="0"/>
        <w:spacing w:before="0" w:after="0" w:line="360" w:lineRule="auto"/>
        <w:rPr>
          <w:rFonts w:hint="eastAsia" w:ascii="宋体" w:hAnsi="宋体" w:cs="宋体"/>
          <w:kern w:val="0"/>
          <w:szCs w:val="21"/>
          <w:highlight w:val="none"/>
        </w:rPr>
      </w:pPr>
      <w:bookmarkStart w:id="60" w:name="_Toc17334"/>
      <w:r>
        <w:rPr>
          <w:rFonts w:hint="eastAsia" w:ascii="宋体" w:hAnsi="宋体" w:cs="宋体"/>
          <w:kern w:val="0"/>
          <w:szCs w:val="21"/>
          <w:highlight w:val="none"/>
        </w:rPr>
        <w:t>4.1 投标文件的密封和标记</w:t>
      </w:r>
      <w:bookmarkEnd w:id="60"/>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4.1.1  投标文件的密封</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ascii="宋体" w:hAnsi="宋体"/>
          <w:snapToGrid w:val="0"/>
          <w:kern w:val="0"/>
          <w:szCs w:val="21"/>
          <w:highlight w:val="none"/>
        </w:rPr>
        <w:t>4.1.2  投标文件的封套上应写明的内容</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pPr>
        <w:pStyle w:val="5"/>
        <w:adjustRightInd w:val="0"/>
        <w:snapToGrid w:val="0"/>
        <w:spacing w:before="0" w:after="0" w:line="360" w:lineRule="auto"/>
        <w:rPr>
          <w:rFonts w:hint="eastAsia" w:ascii="宋体" w:hAnsi="宋体" w:cs="宋体"/>
          <w:kern w:val="0"/>
          <w:szCs w:val="21"/>
          <w:highlight w:val="none"/>
        </w:rPr>
      </w:pPr>
      <w:bookmarkStart w:id="61" w:name="_Toc12162"/>
      <w:r>
        <w:rPr>
          <w:rFonts w:hint="eastAsia" w:ascii="宋体" w:hAnsi="宋体" w:cs="宋体"/>
          <w:kern w:val="0"/>
          <w:szCs w:val="21"/>
          <w:highlight w:val="none"/>
        </w:rPr>
        <w:t>4.2 投标文件的递交</w:t>
      </w:r>
      <w:bookmarkEnd w:id="61"/>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4.2.1 投标人应在投标人须知前附表规定的投标截止时间前递交投标文件。</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4.2.1 </w:t>
      </w:r>
      <w:r>
        <w:rPr>
          <w:rFonts w:hint="eastAsia" w:ascii="宋体" w:hAnsi="宋体" w:cs="宋体"/>
          <w:snapToGrid w:val="0"/>
          <w:kern w:val="0"/>
          <w:szCs w:val="21"/>
          <w:highlight w:val="none"/>
        </w:rPr>
        <w:t>投标人应在投标人须知前附表第2.2.2项规定的投标截止时间前递交投标文件。</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4.2.2 投标人递交投标文件的地点：见投标人须知前附表。</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4.2.3 除投标人须知前附表另有规定外，投标人所递交的投标文件不予退还。</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4.2.4 招标人收到投标文件后，向投标人出具签收凭证。</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4.2.5 逾期送达的投标文件，招标人将予以拒收。</w:t>
      </w:r>
    </w:p>
    <w:p>
      <w:pPr>
        <w:pStyle w:val="5"/>
        <w:adjustRightInd w:val="0"/>
        <w:snapToGrid w:val="0"/>
        <w:spacing w:before="0" w:after="0" w:line="360" w:lineRule="auto"/>
        <w:rPr>
          <w:rFonts w:hint="eastAsia" w:ascii="宋体" w:hAnsi="宋体" w:cs="宋体"/>
          <w:kern w:val="0"/>
          <w:szCs w:val="21"/>
          <w:highlight w:val="none"/>
        </w:rPr>
      </w:pPr>
      <w:bookmarkStart w:id="62" w:name="_Toc2309"/>
      <w:r>
        <w:rPr>
          <w:rFonts w:hint="eastAsia" w:ascii="宋体" w:hAnsi="宋体" w:cs="宋体"/>
          <w:kern w:val="0"/>
          <w:szCs w:val="21"/>
          <w:highlight w:val="none"/>
        </w:rPr>
        <w:t>4.3 投标文件的修改与撤回</w:t>
      </w:r>
      <w:bookmarkEnd w:id="62"/>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4.3.1 </w:t>
      </w:r>
      <w:r>
        <w:rPr>
          <w:rFonts w:ascii="宋体" w:hAnsi="宋体"/>
          <w:snapToGrid w:val="0"/>
          <w:kern w:val="0"/>
          <w:szCs w:val="21"/>
          <w:highlight w:val="none"/>
        </w:rPr>
        <w:t>在投标人须知前附表第2.2.2项规定的投标截止时间前，投标人可以修改或撤回已递交的投标文件，但应以书面形式通知招标人。</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4.3.2  投标人修改或撤回已递交投标文件的书面通知应按照本章第3.7.3项的要求</w:t>
      </w:r>
      <w:r>
        <w:rPr>
          <w:rFonts w:hint="eastAsia" w:ascii="宋体" w:hAnsi="宋体"/>
          <w:snapToGrid w:val="0"/>
          <w:kern w:val="0"/>
          <w:szCs w:val="21"/>
          <w:highlight w:val="none"/>
        </w:rPr>
        <w:t>签名</w:t>
      </w:r>
      <w:r>
        <w:rPr>
          <w:rFonts w:ascii="宋体" w:hAnsi="宋体"/>
          <w:snapToGrid w:val="0"/>
          <w:kern w:val="0"/>
          <w:szCs w:val="21"/>
          <w:highlight w:val="none"/>
        </w:rPr>
        <w:t>或盖章。招标人收到书面通知后，向投标人出具签收凭证。</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ascii="宋体" w:hAnsi="宋体"/>
          <w:snapToGrid w:val="0"/>
          <w:kern w:val="0"/>
          <w:szCs w:val="21"/>
          <w:highlight w:val="none"/>
        </w:rPr>
        <w:t>4.3.3  修改的内容为投标文件的组成部分。修改的投标文件应按照本章第3条、第4条规定进行编制、密封、标记和递交，并标明“修改”字样。</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63" w:name="_Toc21423"/>
      <w:bookmarkStart w:id="64" w:name="_Toc7175"/>
      <w:bookmarkStart w:id="65" w:name="_Toc30353"/>
      <w:bookmarkStart w:id="66" w:name="_Toc11829"/>
      <w:r>
        <w:rPr>
          <w:rFonts w:hint="eastAsia" w:ascii="宋体" w:hAnsi="宋体"/>
          <w:color w:val="auto"/>
          <w:szCs w:val="21"/>
          <w:highlight w:val="none"/>
          <w:lang w:eastAsia="zh-CN"/>
        </w:rPr>
        <w:t>5. 开标</w:t>
      </w:r>
      <w:bookmarkEnd w:id="63"/>
      <w:bookmarkEnd w:id="64"/>
      <w:bookmarkEnd w:id="65"/>
      <w:bookmarkEnd w:id="66"/>
    </w:p>
    <w:p>
      <w:pPr>
        <w:pStyle w:val="5"/>
        <w:adjustRightInd w:val="0"/>
        <w:snapToGrid w:val="0"/>
        <w:spacing w:before="0" w:after="0" w:line="360" w:lineRule="auto"/>
        <w:rPr>
          <w:rFonts w:hint="eastAsia" w:ascii="宋体" w:hAnsi="宋体" w:cs="宋体"/>
          <w:kern w:val="0"/>
          <w:szCs w:val="21"/>
          <w:highlight w:val="none"/>
        </w:rPr>
      </w:pPr>
      <w:bookmarkStart w:id="67" w:name="_Toc20520"/>
      <w:r>
        <w:rPr>
          <w:rFonts w:hint="eastAsia" w:ascii="宋体" w:hAnsi="宋体" w:cs="宋体"/>
          <w:kern w:val="0"/>
          <w:szCs w:val="21"/>
          <w:highlight w:val="none"/>
        </w:rPr>
        <w:t>5.1 开标时间和地点</w:t>
      </w:r>
      <w:bookmarkEnd w:id="67"/>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ascii="宋体" w:hAnsi="宋体"/>
          <w:snapToGrid w:val="0"/>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pPr>
        <w:pStyle w:val="5"/>
        <w:adjustRightInd w:val="0"/>
        <w:snapToGrid w:val="0"/>
        <w:spacing w:before="0" w:after="0" w:line="360" w:lineRule="auto"/>
        <w:rPr>
          <w:rFonts w:hint="eastAsia" w:ascii="宋体" w:hAnsi="宋体" w:cs="宋体"/>
          <w:kern w:val="0"/>
          <w:szCs w:val="21"/>
          <w:highlight w:val="none"/>
        </w:rPr>
      </w:pPr>
      <w:bookmarkStart w:id="68" w:name="_Toc440"/>
      <w:r>
        <w:rPr>
          <w:rFonts w:hint="eastAsia" w:ascii="宋体" w:hAnsi="宋体" w:cs="宋体"/>
          <w:kern w:val="0"/>
          <w:szCs w:val="21"/>
          <w:highlight w:val="none"/>
        </w:rPr>
        <w:t>5.2 开标程序</w:t>
      </w:r>
      <w:bookmarkEnd w:id="68"/>
    </w:p>
    <w:p>
      <w:pPr>
        <w:pStyle w:val="21"/>
        <w:snapToGrid w:val="0"/>
        <w:spacing w:line="360" w:lineRule="auto"/>
        <w:ind w:firstLine="420" w:firstLineChars="200"/>
        <w:rPr>
          <w:rFonts w:hint="default" w:eastAsia="宋体" w:cs="Times New Roman"/>
          <w:snapToGrid w:val="0"/>
          <w:color w:val="auto"/>
          <w:szCs w:val="21"/>
          <w:highlight w:val="none"/>
        </w:rPr>
      </w:pPr>
      <w:r>
        <w:rPr>
          <w:rFonts w:eastAsia="宋体"/>
          <w:snapToGrid w:val="0"/>
          <w:color w:val="auto"/>
          <w:szCs w:val="21"/>
          <w:highlight w:val="none"/>
        </w:rPr>
        <w:t>详见投标人须知前附表</w:t>
      </w:r>
      <w:r>
        <w:rPr>
          <w:rFonts w:hint="default" w:eastAsia="宋体"/>
          <w:snapToGrid w:val="0"/>
          <w:color w:val="auto"/>
          <w:szCs w:val="21"/>
          <w:highlight w:val="none"/>
        </w:rPr>
        <w:t>第</w:t>
      </w:r>
      <w:r>
        <w:rPr>
          <w:rFonts w:eastAsia="宋体"/>
          <w:snapToGrid w:val="0"/>
          <w:color w:val="auto"/>
          <w:szCs w:val="21"/>
          <w:highlight w:val="none"/>
        </w:rPr>
        <w:t>5.2</w:t>
      </w:r>
      <w:r>
        <w:rPr>
          <w:rFonts w:hint="default" w:eastAsia="宋体"/>
          <w:snapToGrid w:val="0"/>
          <w:color w:val="auto"/>
          <w:szCs w:val="21"/>
          <w:highlight w:val="none"/>
        </w:rPr>
        <w:t>款</w:t>
      </w:r>
      <w:r>
        <w:rPr>
          <w:rFonts w:eastAsia="宋体"/>
          <w:snapToGrid w:val="0"/>
          <w:color w:val="auto"/>
          <w:szCs w:val="21"/>
          <w:highlight w:val="none"/>
        </w:rPr>
        <w:t>开标程序。</w:t>
      </w:r>
    </w:p>
    <w:p>
      <w:pPr>
        <w:pStyle w:val="5"/>
        <w:adjustRightInd w:val="0"/>
        <w:snapToGrid w:val="0"/>
        <w:spacing w:before="0" w:after="0" w:line="360" w:lineRule="auto"/>
        <w:rPr>
          <w:rFonts w:hint="eastAsia" w:ascii="宋体" w:hAnsi="宋体" w:cs="宋体"/>
          <w:kern w:val="0"/>
          <w:szCs w:val="21"/>
          <w:highlight w:val="none"/>
        </w:rPr>
      </w:pPr>
      <w:bookmarkStart w:id="69" w:name="_Toc766"/>
      <w:r>
        <w:rPr>
          <w:rFonts w:hint="eastAsia" w:ascii="宋体" w:hAnsi="宋体" w:cs="宋体"/>
          <w:kern w:val="0"/>
          <w:szCs w:val="21"/>
          <w:highlight w:val="none"/>
        </w:rPr>
        <w:t>5.3 开标异议</w:t>
      </w:r>
      <w:bookmarkEnd w:id="69"/>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highlight w:val="none"/>
        </w:rPr>
        <w:t>。</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70" w:name="_Toc28954"/>
      <w:bookmarkStart w:id="71" w:name="_Toc26815"/>
      <w:bookmarkStart w:id="72" w:name="_Toc21698"/>
      <w:bookmarkStart w:id="73" w:name="_Toc32141"/>
      <w:r>
        <w:rPr>
          <w:rFonts w:hint="eastAsia" w:ascii="宋体" w:hAnsi="宋体"/>
          <w:color w:val="auto"/>
          <w:szCs w:val="21"/>
          <w:highlight w:val="none"/>
          <w:lang w:eastAsia="zh-CN"/>
        </w:rPr>
        <w:t>6. 评标</w:t>
      </w:r>
      <w:bookmarkEnd w:id="70"/>
      <w:bookmarkEnd w:id="71"/>
      <w:bookmarkEnd w:id="72"/>
      <w:bookmarkEnd w:id="73"/>
    </w:p>
    <w:p>
      <w:pPr>
        <w:pStyle w:val="5"/>
        <w:adjustRightInd w:val="0"/>
        <w:snapToGrid w:val="0"/>
        <w:spacing w:before="0" w:after="0" w:line="360" w:lineRule="auto"/>
        <w:rPr>
          <w:rFonts w:hint="eastAsia" w:ascii="宋体" w:hAnsi="宋体" w:cs="宋体"/>
          <w:kern w:val="0"/>
          <w:szCs w:val="21"/>
          <w:highlight w:val="none"/>
        </w:rPr>
      </w:pPr>
      <w:bookmarkStart w:id="74" w:name="_Toc14448"/>
      <w:r>
        <w:rPr>
          <w:rFonts w:hint="eastAsia" w:ascii="宋体" w:hAnsi="宋体" w:cs="宋体"/>
          <w:kern w:val="0"/>
          <w:szCs w:val="21"/>
          <w:highlight w:val="none"/>
        </w:rPr>
        <w:t>6.1 评标委员会</w:t>
      </w:r>
      <w:bookmarkEnd w:id="74"/>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6.1.1 </w:t>
      </w:r>
      <w:r>
        <w:rPr>
          <w:rFonts w:ascii="宋体" w:hAnsi="宋体"/>
          <w:snapToGrid w:val="0"/>
          <w:kern w:val="0"/>
          <w:szCs w:val="21"/>
          <w:highlight w:val="none"/>
        </w:rPr>
        <w:t>评标由招标人依据法律法规和相关规范性文件组建的评标委员会负责。</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（1）投标人或投标人的主要负责人的近亲属；</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（2）项目主管部门或者项目行政监督部门的人员；</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（3）与投标人有利害关系，可能影响对投标公正评审的；</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（4）曾因在招标、评标以及其他与招标投标有关活动中从事违法行为而受过行政处罚或刑事处罚的</w:t>
      </w:r>
      <w:r>
        <w:rPr>
          <w:rFonts w:hint="eastAsia" w:ascii="宋体" w:hAnsi="宋体"/>
          <w:snapToGrid w:val="0"/>
          <w:kern w:val="0"/>
          <w:szCs w:val="21"/>
          <w:highlight w:val="none"/>
        </w:rPr>
        <w:t>；</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snapToGrid w:val="0"/>
          <w:kern w:val="0"/>
          <w:szCs w:val="21"/>
          <w:highlight w:val="none"/>
        </w:rPr>
        <w:t>（5）法律法规规定的其他情形。</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6.1.3 </w:t>
      </w:r>
      <w:r>
        <w:rPr>
          <w:rFonts w:hint="eastAsia" w:ascii="宋体" w:hAnsi="宋体" w:cs="宋体"/>
          <w:szCs w:val="21"/>
          <w:highlight w:val="none"/>
        </w:rPr>
        <w:t>评标过程中，评标委员会成员有回避事由、擅离职守或者因健康等原因不能继续评标的，应当及时更换。被更换的评标委员会成员作出的评审结论无效，由更换后的评标委员会成员重新进行评审。</w:t>
      </w:r>
    </w:p>
    <w:p>
      <w:pPr>
        <w:pStyle w:val="5"/>
        <w:adjustRightInd w:val="0"/>
        <w:snapToGrid w:val="0"/>
        <w:spacing w:before="0" w:after="0" w:line="360" w:lineRule="auto"/>
        <w:rPr>
          <w:rFonts w:hint="eastAsia" w:ascii="宋体" w:hAnsi="宋体" w:cs="宋体"/>
          <w:kern w:val="0"/>
          <w:szCs w:val="21"/>
          <w:highlight w:val="none"/>
        </w:rPr>
      </w:pPr>
      <w:bookmarkStart w:id="75" w:name="_Toc19823"/>
      <w:r>
        <w:rPr>
          <w:rFonts w:hint="eastAsia" w:ascii="宋体" w:hAnsi="宋体" w:cs="宋体"/>
          <w:kern w:val="0"/>
          <w:szCs w:val="21"/>
          <w:highlight w:val="none"/>
        </w:rPr>
        <w:t>6.2 评标原则</w:t>
      </w:r>
      <w:bookmarkEnd w:id="75"/>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评标活动遵循公平、公正、科学和择优的原则。</w:t>
      </w:r>
    </w:p>
    <w:p>
      <w:pPr>
        <w:pStyle w:val="5"/>
        <w:adjustRightInd w:val="0"/>
        <w:snapToGrid w:val="0"/>
        <w:spacing w:before="0" w:after="0" w:line="360" w:lineRule="auto"/>
        <w:rPr>
          <w:rFonts w:hint="eastAsia" w:ascii="宋体" w:hAnsi="宋体" w:cs="宋体"/>
          <w:kern w:val="0"/>
          <w:szCs w:val="21"/>
          <w:highlight w:val="none"/>
        </w:rPr>
      </w:pPr>
      <w:bookmarkStart w:id="76" w:name="_Toc11632"/>
      <w:r>
        <w:rPr>
          <w:rFonts w:hint="eastAsia" w:ascii="宋体" w:hAnsi="宋体" w:cs="宋体"/>
          <w:kern w:val="0"/>
          <w:szCs w:val="21"/>
          <w:highlight w:val="none"/>
        </w:rPr>
        <w:t>6.3 评标</w:t>
      </w:r>
      <w:bookmarkEnd w:id="76"/>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6.3.2 评标完成后，评标委员会应当向招标人提交书面评标报告和中标候选人名单。评标委员会推荐中标候选人的人数见投标人须知前附表。</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77" w:name="_Toc5258"/>
      <w:bookmarkStart w:id="78" w:name="_Toc15299"/>
      <w:bookmarkStart w:id="79" w:name="_Toc4162"/>
      <w:bookmarkStart w:id="80" w:name="_Toc28389"/>
      <w:r>
        <w:rPr>
          <w:rFonts w:hint="eastAsia" w:ascii="宋体" w:hAnsi="宋体"/>
          <w:color w:val="auto"/>
          <w:szCs w:val="21"/>
          <w:highlight w:val="none"/>
          <w:lang w:eastAsia="zh-CN"/>
        </w:rPr>
        <w:t>7. 合同授予</w:t>
      </w:r>
      <w:bookmarkEnd w:id="77"/>
      <w:bookmarkEnd w:id="78"/>
      <w:bookmarkEnd w:id="79"/>
      <w:bookmarkEnd w:id="80"/>
    </w:p>
    <w:p>
      <w:pPr>
        <w:pStyle w:val="5"/>
        <w:adjustRightInd w:val="0"/>
        <w:snapToGrid w:val="0"/>
        <w:spacing w:before="0" w:after="0" w:line="360" w:lineRule="auto"/>
        <w:rPr>
          <w:rFonts w:hint="eastAsia" w:ascii="宋体" w:hAnsi="宋体" w:cs="宋体"/>
          <w:kern w:val="0"/>
          <w:szCs w:val="21"/>
          <w:highlight w:val="none"/>
        </w:rPr>
      </w:pPr>
      <w:bookmarkStart w:id="81" w:name="_Toc2761"/>
      <w:r>
        <w:rPr>
          <w:rFonts w:hint="eastAsia" w:ascii="宋体" w:hAnsi="宋体" w:cs="宋体"/>
          <w:kern w:val="0"/>
          <w:szCs w:val="21"/>
          <w:highlight w:val="none"/>
        </w:rPr>
        <w:t>7.1 中标候选人公示</w:t>
      </w:r>
      <w:bookmarkEnd w:id="81"/>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招标人在收到评标报告之日起3日内，按照投标人须知前附表规定的公示媒介和期限公示中标候选人，公示期不得少于3天。</w:t>
      </w:r>
    </w:p>
    <w:p>
      <w:pPr>
        <w:pStyle w:val="5"/>
        <w:adjustRightInd w:val="0"/>
        <w:snapToGrid w:val="0"/>
        <w:spacing w:before="0" w:after="0" w:line="360" w:lineRule="auto"/>
        <w:rPr>
          <w:rFonts w:hint="eastAsia" w:ascii="宋体" w:hAnsi="宋体" w:cs="宋体"/>
          <w:kern w:val="0"/>
          <w:szCs w:val="21"/>
          <w:highlight w:val="none"/>
        </w:rPr>
      </w:pPr>
      <w:bookmarkStart w:id="82" w:name="_Toc509617492"/>
      <w:bookmarkStart w:id="83" w:name="_Toc508283645"/>
      <w:bookmarkStart w:id="84" w:name="_Toc507668545"/>
      <w:bookmarkStart w:id="85" w:name="_Toc18499"/>
      <w:bookmarkStart w:id="86" w:name="_Toc14569"/>
      <w:bookmarkStart w:id="87" w:name="_Toc508198921"/>
      <w:r>
        <w:rPr>
          <w:rFonts w:hint="eastAsia" w:ascii="宋体" w:hAnsi="宋体" w:cs="宋体"/>
          <w:kern w:val="0"/>
          <w:szCs w:val="21"/>
          <w:highlight w:val="none"/>
        </w:rPr>
        <w:t>7.2 评标结果异议</w:t>
      </w:r>
      <w:bookmarkEnd w:id="82"/>
      <w:bookmarkEnd w:id="83"/>
      <w:bookmarkEnd w:id="84"/>
      <w:bookmarkEnd w:id="85"/>
      <w:bookmarkEnd w:id="86"/>
      <w:bookmarkEnd w:id="87"/>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7.2.1 评标结果异议提交渠道详见投标人须知前附表。</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7.2.2 投标人或者其他利害关系人对评标结果有异议的，应当在中标候选人公示期间提出（以招标人收到书面异议原件之日为准）。招标人将在收到异议之日起3日内作出答复；作出答复前，将暂停招标投标活动。</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7.2.3 异议提出人向招标人提起异议时，应当提交异议书。异议书应当包括下列内容：</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（1）异议提出人的名称、地址及有效联系方式。</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（2）异议事项的基本事实。</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（3）异议请求及主张。</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（4）有效线索和相关证据、证明材料。</w:t>
      </w:r>
      <w:r>
        <w:rPr>
          <w:rFonts w:hint="eastAsia" w:ascii="宋体" w:hAnsi="宋体" w:cs="宋体"/>
          <w:snapToGrid w:val="0"/>
          <w:highlight w:val="none"/>
        </w:rPr>
        <w:br w:type="textWrapping"/>
      </w:r>
      <w:r>
        <w:rPr>
          <w:rFonts w:hint="eastAsia" w:ascii="宋体" w:hAnsi="宋体" w:cs="宋体"/>
          <w:snapToGrid w:val="0"/>
          <w:highlight w:val="none"/>
        </w:rPr>
        <w:t xml:space="preserve">    异议提出人是法人的，异议函必须由其法定代表人和委托代理人签名并盖章的原件；异议提出人是其他组织或者自然人的，异议函必须由其主要负责人或者异议提出人本人签名的原件，并附有效身份证明复印件。若异议函有关材料是外文，异议提出人应当同时提供中文译本。</w:t>
      </w:r>
      <w:r>
        <w:rPr>
          <w:rFonts w:hint="eastAsia" w:ascii="宋体" w:hAnsi="宋体" w:cs="宋体"/>
          <w:snapToGrid w:val="0"/>
          <w:highlight w:val="none"/>
        </w:rPr>
        <w:br w:type="textWrapping"/>
      </w:r>
      <w:r>
        <w:rPr>
          <w:rFonts w:hint="eastAsia" w:ascii="宋体" w:hAnsi="宋体" w:cs="宋体"/>
          <w:snapToGrid w:val="0"/>
          <w:highlight w:val="none"/>
        </w:rPr>
        <w:t xml:space="preserve">    7.2.4 异议提出人对异议事项提出的请求和主张，有责任提供证据；只有自己陈述而不能提出其他相关证据的，对其请求和主张不予支持。</w:t>
      </w:r>
      <w:r>
        <w:rPr>
          <w:rFonts w:hint="eastAsia" w:ascii="宋体" w:hAnsi="宋体" w:cs="宋体"/>
          <w:snapToGrid w:val="0"/>
          <w:highlight w:val="none"/>
        </w:rPr>
        <w:br w:type="textWrapping"/>
      </w:r>
      <w:r>
        <w:rPr>
          <w:rFonts w:hint="eastAsia" w:ascii="宋体" w:hAnsi="宋体" w:cs="宋体"/>
          <w:snapToGrid w:val="0"/>
          <w:highlight w:val="none"/>
        </w:rPr>
        <w:t xml:space="preserve">    7.2.5 异议提出人不得虚假异议、恶意异议，不得以异议为名排挤竞争对手，阻碍招标活动的正常进行。若出现该情况，视为无效异议，不再受理。</w:t>
      </w:r>
      <w:r>
        <w:rPr>
          <w:rFonts w:hint="eastAsia" w:ascii="宋体" w:hAnsi="宋体" w:cs="宋体"/>
          <w:snapToGrid w:val="0"/>
          <w:highlight w:val="none"/>
        </w:rPr>
        <w:br w:type="textWrapping"/>
      </w:r>
      <w:r>
        <w:rPr>
          <w:rFonts w:hint="eastAsia" w:ascii="宋体" w:hAnsi="宋体" w:cs="宋体"/>
          <w:snapToGrid w:val="0"/>
          <w:highlight w:val="none"/>
        </w:rPr>
        <w:t xml:space="preserve">    7.2.6 异议提出人不得捏造事实，不得伪造材料或者以非法手段取得证明材料提起异议。异议提出人提供证据存在下列情形之一，不能提供合法证明，或者不能合理说明来源的，视为以非法手段取得证明材料，不予采信：  </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（1）招标投标法第二十二条规定的招标投标保密信息。</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（2）应当保密的投标文件（但招标人提起异议时，投标文件不作为非法证据）。</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（3）招标投标法第四十四条规定保密的投标文件评审和比较情况、中标候选人推荐情况和评标有关的其他情况。</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（4）其他依法应当保密的信息和资料。</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7.2.7 有下列情形之一的异议，不予受理：</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（1）异议事项不具体，且未提供有效线索、相关证据和证明材料，难以查证。</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（2）未署异议提出人真实姓名、签名和有效联系方式。</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（3）未经法定代表人或授权的委托代理人签名并加盖公章，或未经主要负责人或异议提出人本人签名。</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（4）不在结果异议期内的。</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（5）已对异议事项做出答复的。</w:t>
      </w:r>
    </w:p>
    <w:p>
      <w:pPr>
        <w:autoSpaceDE w:val="0"/>
        <w:autoSpaceDN w:val="0"/>
        <w:adjustRightInd w:val="0"/>
        <w:snapToGrid w:val="0"/>
        <w:spacing w:line="360" w:lineRule="auto"/>
        <w:ind w:firstLine="420" w:firstLineChars="200"/>
        <w:jc w:val="left"/>
        <w:rPr>
          <w:rFonts w:hint="eastAsia" w:ascii="宋体" w:hAnsi="宋体" w:cs="宋体"/>
          <w:snapToGrid w:val="0"/>
          <w:highlight w:val="none"/>
        </w:rPr>
      </w:pPr>
      <w:r>
        <w:rPr>
          <w:rFonts w:hint="eastAsia" w:ascii="宋体" w:hAnsi="宋体" w:cs="宋体"/>
          <w:snapToGrid w:val="0"/>
          <w:highlight w:val="none"/>
        </w:rPr>
        <w:t>7.2.8 经查实，异议事项不成立，可根据实际情况，向对方作出书面回复。</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snapToGrid w:val="0"/>
          <w:highlight w:val="none"/>
        </w:rPr>
        <w:t>7.2.9 异议处理决定做出前，异议提出人要求撤回异议的，应当以书面形式提出，撤回异议不损害国家利益、社会公共利益或者其他当事人合法权益的，应当准予撤回，异议处理过程终止。异议提出人不得以同一事实和理由再提出异议，若再次提出则不再受理。</w:t>
      </w:r>
    </w:p>
    <w:p>
      <w:pPr>
        <w:pStyle w:val="5"/>
        <w:adjustRightInd w:val="0"/>
        <w:snapToGrid w:val="0"/>
        <w:spacing w:before="0" w:after="0" w:line="360" w:lineRule="auto"/>
        <w:rPr>
          <w:rFonts w:hint="eastAsia" w:ascii="宋体" w:hAnsi="宋体" w:cs="宋体"/>
          <w:kern w:val="0"/>
          <w:szCs w:val="21"/>
          <w:highlight w:val="none"/>
        </w:rPr>
      </w:pPr>
      <w:bookmarkStart w:id="88" w:name="_Toc1686"/>
      <w:r>
        <w:rPr>
          <w:rFonts w:hint="eastAsia" w:ascii="宋体" w:hAnsi="宋体" w:cs="宋体"/>
          <w:kern w:val="0"/>
          <w:szCs w:val="21"/>
          <w:highlight w:val="none"/>
        </w:rPr>
        <w:t>7.3 中标候选人履约能力审查</w:t>
      </w:r>
      <w:bookmarkEnd w:id="88"/>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adjustRightInd w:val="0"/>
        <w:snapToGrid w:val="0"/>
        <w:spacing w:before="0" w:after="0" w:line="360" w:lineRule="auto"/>
        <w:rPr>
          <w:rFonts w:hint="eastAsia" w:ascii="宋体" w:hAnsi="宋体" w:cs="宋体"/>
          <w:kern w:val="0"/>
          <w:szCs w:val="21"/>
          <w:highlight w:val="none"/>
        </w:rPr>
      </w:pPr>
      <w:bookmarkStart w:id="89" w:name="_Toc10440"/>
      <w:r>
        <w:rPr>
          <w:rFonts w:hint="eastAsia" w:ascii="宋体" w:hAnsi="宋体" w:cs="宋体"/>
          <w:kern w:val="0"/>
          <w:szCs w:val="21"/>
          <w:highlight w:val="none"/>
        </w:rPr>
        <w:t>7.4 定标</w:t>
      </w:r>
      <w:bookmarkEnd w:id="89"/>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按照投标人须知前附表的规定，招标人或招标人授权的评标委员会依法确定中标人。</w:t>
      </w:r>
    </w:p>
    <w:p>
      <w:pPr>
        <w:pStyle w:val="5"/>
        <w:adjustRightInd w:val="0"/>
        <w:snapToGrid w:val="0"/>
        <w:spacing w:before="0" w:after="0" w:line="360" w:lineRule="auto"/>
        <w:rPr>
          <w:rFonts w:hint="eastAsia" w:ascii="宋体" w:hAnsi="宋体" w:cs="宋体"/>
          <w:kern w:val="0"/>
          <w:szCs w:val="21"/>
          <w:highlight w:val="none"/>
        </w:rPr>
      </w:pPr>
      <w:bookmarkStart w:id="90" w:name="_Toc9825"/>
      <w:r>
        <w:rPr>
          <w:rFonts w:hint="eastAsia" w:ascii="宋体" w:hAnsi="宋体" w:cs="宋体"/>
          <w:kern w:val="0"/>
          <w:szCs w:val="21"/>
          <w:highlight w:val="none"/>
        </w:rPr>
        <w:t>7.5 中标通知</w:t>
      </w:r>
      <w:bookmarkEnd w:id="90"/>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在本章第3.3款规定的投标有效期内，招标人以书面形式向中标人发出中标通知书，同时将中标结果通知未中标的投标人。</w:t>
      </w:r>
    </w:p>
    <w:p>
      <w:pPr>
        <w:pStyle w:val="5"/>
        <w:adjustRightInd w:val="0"/>
        <w:snapToGrid w:val="0"/>
        <w:spacing w:before="0" w:after="0" w:line="360" w:lineRule="auto"/>
        <w:rPr>
          <w:rFonts w:hint="eastAsia" w:ascii="宋体" w:hAnsi="宋体" w:cs="宋体"/>
          <w:kern w:val="0"/>
          <w:szCs w:val="21"/>
          <w:highlight w:val="none"/>
        </w:rPr>
      </w:pPr>
      <w:bookmarkStart w:id="91" w:name="_Toc19963"/>
      <w:r>
        <w:rPr>
          <w:rFonts w:hint="eastAsia" w:ascii="宋体" w:hAnsi="宋体" w:cs="宋体"/>
          <w:kern w:val="0"/>
          <w:szCs w:val="21"/>
          <w:highlight w:val="none"/>
        </w:rPr>
        <w:t>7.6 技术成果经济补偿</w:t>
      </w:r>
      <w:bookmarkEnd w:id="91"/>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无。</w:t>
      </w:r>
    </w:p>
    <w:p>
      <w:pPr>
        <w:pStyle w:val="5"/>
        <w:adjustRightInd w:val="0"/>
        <w:snapToGrid w:val="0"/>
        <w:spacing w:before="0" w:after="0" w:line="360" w:lineRule="auto"/>
        <w:rPr>
          <w:rFonts w:hint="eastAsia" w:ascii="宋体" w:hAnsi="宋体" w:cs="宋体"/>
          <w:kern w:val="0"/>
          <w:szCs w:val="21"/>
          <w:highlight w:val="none"/>
        </w:rPr>
      </w:pPr>
      <w:bookmarkStart w:id="92" w:name="_Toc20271"/>
      <w:r>
        <w:rPr>
          <w:rFonts w:hint="eastAsia" w:ascii="宋体" w:hAnsi="宋体" w:cs="宋体"/>
          <w:kern w:val="0"/>
          <w:szCs w:val="21"/>
          <w:highlight w:val="none"/>
        </w:rPr>
        <w:t>7.7 履约保证金</w:t>
      </w:r>
      <w:bookmarkEnd w:id="92"/>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7.7.1 </w:t>
      </w:r>
      <w:r>
        <w:rPr>
          <w:rFonts w:ascii="宋体" w:hAnsi="宋体"/>
          <w:snapToGrid w:val="0"/>
          <w:kern w:val="0"/>
          <w:szCs w:val="21"/>
          <w:highlight w:val="none"/>
        </w:rPr>
        <w:t>在签订合同前，中标人应按投标人须知前附表规定的金额、担保形式和招标文件第四章“合同条款及格式”规定的履约担保格式向招标人提交履约担保。</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7.7.2 </w:t>
      </w:r>
      <w:r>
        <w:rPr>
          <w:rFonts w:ascii="宋体" w:hAnsi="宋体"/>
          <w:snapToGrid w:val="0"/>
          <w:kern w:val="0"/>
          <w:szCs w:val="21"/>
          <w:highlight w:val="none"/>
        </w:rPr>
        <w:t>中标人不能按本章第 7.</w:t>
      </w:r>
      <w:r>
        <w:rPr>
          <w:rFonts w:hint="eastAsia" w:ascii="宋体" w:hAnsi="宋体"/>
          <w:snapToGrid w:val="0"/>
          <w:kern w:val="0"/>
          <w:szCs w:val="21"/>
          <w:highlight w:val="none"/>
        </w:rPr>
        <w:t>7</w:t>
      </w:r>
      <w:r>
        <w:rPr>
          <w:rFonts w:ascii="宋体" w:hAnsi="宋体"/>
          <w:snapToGrid w:val="0"/>
          <w:kern w:val="0"/>
          <w:szCs w:val="21"/>
          <w:highlight w:val="none"/>
        </w:rPr>
        <w:t>.1 项要求提交履约担保的，视为放弃中标，其投标保证金不予退还，给招标人造成的损失超过投标保证金数额的，中标人还应当对超过部分予以赔偿。</w:t>
      </w:r>
    </w:p>
    <w:p>
      <w:pPr>
        <w:pStyle w:val="5"/>
        <w:adjustRightInd w:val="0"/>
        <w:snapToGrid w:val="0"/>
        <w:spacing w:before="0" w:after="0" w:line="360" w:lineRule="auto"/>
        <w:rPr>
          <w:rFonts w:hint="eastAsia" w:ascii="宋体" w:hAnsi="宋体" w:cs="宋体"/>
          <w:kern w:val="0"/>
          <w:szCs w:val="21"/>
          <w:highlight w:val="none"/>
        </w:rPr>
      </w:pPr>
      <w:bookmarkStart w:id="93" w:name="_Toc6139"/>
      <w:r>
        <w:rPr>
          <w:rFonts w:hint="eastAsia" w:ascii="宋体" w:hAnsi="宋体" w:cs="宋体"/>
          <w:kern w:val="0"/>
          <w:szCs w:val="21"/>
          <w:highlight w:val="none"/>
        </w:rPr>
        <w:t>7.8 签订合同</w:t>
      </w:r>
      <w:bookmarkEnd w:id="93"/>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7.8.2 发出中标通知书后，招标人无正当理由拒签合同，或者在签订合同时向中标人提出附加条件的，招标人向中标人退还投标保证金；给中标人造成损失的，还应当赔偿损失。</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94" w:name="_Toc31500"/>
      <w:bookmarkStart w:id="95" w:name="_Toc25148"/>
      <w:bookmarkStart w:id="96" w:name="_Toc5875"/>
      <w:bookmarkStart w:id="97" w:name="_Toc2877"/>
      <w:bookmarkStart w:id="98" w:name="_Toc15062"/>
      <w:r>
        <w:rPr>
          <w:rFonts w:hint="eastAsia" w:ascii="宋体" w:hAnsi="宋体"/>
          <w:color w:val="auto"/>
          <w:szCs w:val="21"/>
          <w:highlight w:val="none"/>
          <w:lang w:eastAsia="zh-CN"/>
        </w:rPr>
        <w:t>8. 重新招标和不再招标</w:t>
      </w:r>
      <w:bookmarkEnd w:id="94"/>
      <w:bookmarkEnd w:id="95"/>
      <w:bookmarkEnd w:id="96"/>
      <w:bookmarkEnd w:id="97"/>
    </w:p>
    <w:p>
      <w:pPr>
        <w:pStyle w:val="5"/>
        <w:adjustRightInd w:val="0"/>
        <w:snapToGrid w:val="0"/>
        <w:spacing w:before="0" w:after="0" w:line="360" w:lineRule="auto"/>
        <w:rPr>
          <w:rFonts w:hint="eastAsia" w:ascii="宋体" w:hAnsi="宋体" w:cs="宋体"/>
          <w:kern w:val="0"/>
          <w:szCs w:val="21"/>
          <w:highlight w:val="none"/>
        </w:rPr>
      </w:pPr>
      <w:bookmarkStart w:id="99" w:name="_Toc29033"/>
      <w:r>
        <w:rPr>
          <w:rFonts w:hint="eastAsia" w:ascii="宋体" w:hAnsi="宋体" w:cs="宋体"/>
          <w:kern w:val="0"/>
          <w:szCs w:val="21"/>
          <w:highlight w:val="none"/>
        </w:rPr>
        <w:t>8.1  重新招标的情形</w:t>
      </w:r>
      <w:bookmarkEnd w:id="99"/>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有下列情形之一的，招标人将重新招标：</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（1）投标截止时间止，投标人少于 3 个的；</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（2）经评标委员会评审后否决所有投标的；</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（4）法律法规规定的其他情形。</w:t>
      </w:r>
    </w:p>
    <w:p>
      <w:pPr>
        <w:pStyle w:val="5"/>
        <w:adjustRightInd w:val="0"/>
        <w:snapToGrid w:val="0"/>
        <w:spacing w:before="0" w:after="0" w:line="360" w:lineRule="auto"/>
        <w:rPr>
          <w:rFonts w:hint="eastAsia" w:ascii="宋体" w:hAnsi="宋体" w:cs="宋体"/>
          <w:kern w:val="0"/>
          <w:szCs w:val="21"/>
          <w:highlight w:val="none"/>
        </w:rPr>
      </w:pPr>
      <w:bookmarkStart w:id="100" w:name="_Toc26578"/>
      <w:r>
        <w:rPr>
          <w:rFonts w:hint="eastAsia" w:ascii="宋体" w:hAnsi="宋体" w:cs="宋体"/>
          <w:kern w:val="0"/>
          <w:szCs w:val="21"/>
          <w:highlight w:val="none"/>
        </w:rPr>
        <w:t>8.2  重新招标和不再招标</w:t>
      </w:r>
      <w:bookmarkEnd w:id="100"/>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101" w:name="_Toc1499"/>
      <w:bookmarkStart w:id="102" w:name="_Toc2767"/>
      <w:bookmarkStart w:id="103" w:name="_Toc3978"/>
      <w:r>
        <w:rPr>
          <w:rFonts w:hint="eastAsia" w:ascii="宋体" w:hAnsi="宋体"/>
          <w:color w:val="auto"/>
          <w:szCs w:val="21"/>
          <w:highlight w:val="none"/>
          <w:lang w:eastAsia="zh-CN"/>
        </w:rPr>
        <w:t>9. 纪律和监督</w:t>
      </w:r>
      <w:bookmarkEnd w:id="98"/>
      <w:bookmarkEnd w:id="101"/>
      <w:bookmarkEnd w:id="102"/>
      <w:bookmarkEnd w:id="103"/>
    </w:p>
    <w:p>
      <w:pPr>
        <w:pStyle w:val="5"/>
        <w:adjustRightInd w:val="0"/>
        <w:snapToGrid w:val="0"/>
        <w:spacing w:before="0" w:after="0" w:line="360" w:lineRule="auto"/>
        <w:rPr>
          <w:rFonts w:hint="eastAsia" w:ascii="宋体" w:hAnsi="宋体" w:cs="宋体"/>
          <w:kern w:val="0"/>
          <w:szCs w:val="21"/>
          <w:highlight w:val="none"/>
        </w:rPr>
      </w:pPr>
      <w:bookmarkStart w:id="104" w:name="_Toc28986"/>
      <w:r>
        <w:rPr>
          <w:rFonts w:hint="eastAsia" w:ascii="宋体" w:hAnsi="宋体" w:cs="宋体"/>
          <w:kern w:val="0"/>
          <w:szCs w:val="21"/>
          <w:highlight w:val="none"/>
        </w:rPr>
        <w:t>9.1 对招标人的纪律要求</w:t>
      </w:r>
      <w:bookmarkEnd w:id="104"/>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招标人不得泄露招标投标活动中应当保密的情况和资料，不得与投标人串通损害国家利益、社会公共利益或者他人合法权益。</w:t>
      </w:r>
    </w:p>
    <w:p>
      <w:pPr>
        <w:pStyle w:val="5"/>
        <w:adjustRightInd w:val="0"/>
        <w:snapToGrid w:val="0"/>
        <w:spacing w:before="0" w:after="0" w:line="360" w:lineRule="auto"/>
        <w:rPr>
          <w:rFonts w:hint="eastAsia" w:ascii="宋体" w:hAnsi="宋体" w:cs="宋体"/>
          <w:kern w:val="0"/>
          <w:szCs w:val="21"/>
          <w:highlight w:val="none"/>
        </w:rPr>
      </w:pPr>
      <w:bookmarkStart w:id="105" w:name="_Toc5266"/>
      <w:r>
        <w:rPr>
          <w:rFonts w:hint="eastAsia" w:ascii="宋体" w:hAnsi="宋体" w:cs="宋体"/>
          <w:kern w:val="0"/>
          <w:szCs w:val="21"/>
          <w:highlight w:val="none"/>
        </w:rPr>
        <w:t>9.2 对投标人的纪律要求</w:t>
      </w:r>
      <w:bookmarkEnd w:id="105"/>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adjustRightInd w:val="0"/>
        <w:snapToGrid w:val="0"/>
        <w:spacing w:before="0" w:after="0" w:line="360" w:lineRule="auto"/>
        <w:rPr>
          <w:rFonts w:hint="eastAsia" w:ascii="宋体" w:hAnsi="宋体" w:cs="宋体"/>
          <w:kern w:val="0"/>
          <w:szCs w:val="21"/>
          <w:highlight w:val="none"/>
        </w:rPr>
      </w:pPr>
      <w:bookmarkStart w:id="106" w:name="_Toc6274"/>
      <w:r>
        <w:rPr>
          <w:rFonts w:hint="eastAsia" w:ascii="宋体" w:hAnsi="宋体" w:cs="宋体"/>
          <w:kern w:val="0"/>
          <w:szCs w:val="21"/>
          <w:highlight w:val="none"/>
        </w:rPr>
        <w:t>9.3 对评标委员会成员的纪律要求</w:t>
      </w:r>
      <w:bookmarkEnd w:id="106"/>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adjustRightInd w:val="0"/>
        <w:snapToGrid w:val="0"/>
        <w:spacing w:before="0" w:after="0" w:line="360" w:lineRule="auto"/>
        <w:rPr>
          <w:rFonts w:hint="eastAsia" w:ascii="宋体" w:hAnsi="宋体" w:cs="宋体"/>
          <w:kern w:val="0"/>
          <w:szCs w:val="21"/>
          <w:highlight w:val="none"/>
        </w:rPr>
      </w:pPr>
      <w:bookmarkStart w:id="107" w:name="_Toc11579"/>
      <w:r>
        <w:rPr>
          <w:rFonts w:hint="eastAsia" w:ascii="宋体" w:hAnsi="宋体" w:cs="宋体"/>
          <w:kern w:val="0"/>
          <w:szCs w:val="21"/>
          <w:highlight w:val="none"/>
        </w:rPr>
        <w:t>9.4 对与评标活动有关的工作人员的纪律要求</w:t>
      </w:r>
      <w:bookmarkEnd w:id="107"/>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adjustRightInd w:val="0"/>
        <w:snapToGrid w:val="0"/>
        <w:spacing w:before="0" w:after="0" w:line="360" w:lineRule="auto"/>
        <w:rPr>
          <w:rFonts w:hint="eastAsia" w:ascii="宋体" w:hAnsi="宋体" w:cs="宋体"/>
          <w:kern w:val="0"/>
          <w:szCs w:val="21"/>
          <w:highlight w:val="none"/>
        </w:rPr>
      </w:pPr>
      <w:bookmarkStart w:id="108" w:name="_Toc3623"/>
      <w:r>
        <w:rPr>
          <w:rFonts w:hint="eastAsia" w:ascii="宋体" w:hAnsi="宋体" w:cs="宋体"/>
          <w:kern w:val="0"/>
          <w:szCs w:val="21"/>
          <w:highlight w:val="none"/>
        </w:rPr>
        <w:t>9.5 投诉</w:t>
      </w:r>
      <w:bookmarkEnd w:id="108"/>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9.5.1 投标人或者其他利害关系人认为招标投标活动不符合法律、行政法规规定的，可以自知道或者应当知道之日起10日内向有关行政监督部门投诉。投诉应当有明确的请求和必要的证明材料。</w:t>
      </w:r>
    </w:p>
    <w:p>
      <w:pPr>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9.5.2 投标人或者其他利害关系人对招标文件、开标和评标结果提出投诉的，应当按照投标人须知第2.4款、第5.3款和第7.2款的规定先向招标人提出异议。异议答复期间不计算在第9.5.1项规定的期限内。</w:t>
      </w:r>
    </w:p>
    <w:p>
      <w:pPr>
        <w:pStyle w:val="3"/>
        <w:adjustRightInd w:val="0"/>
        <w:snapToGrid w:val="0"/>
        <w:spacing w:before="0" w:after="0" w:line="360" w:lineRule="auto"/>
        <w:ind w:firstLine="0" w:firstLineChars="0"/>
        <w:rPr>
          <w:rFonts w:hint="eastAsia" w:ascii="宋体" w:hAnsi="宋体"/>
          <w:color w:val="auto"/>
          <w:szCs w:val="21"/>
          <w:highlight w:val="none"/>
          <w:lang w:eastAsia="zh-CN"/>
        </w:rPr>
      </w:pPr>
      <w:bookmarkStart w:id="109" w:name="_Toc30738"/>
      <w:bookmarkStart w:id="110" w:name="_Toc19471"/>
      <w:bookmarkStart w:id="111" w:name="_Toc29123"/>
      <w:bookmarkStart w:id="112" w:name="_Toc13457"/>
      <w:r>
        <w:rPr>
          <w:rFonts w:hint="eastAsia" w:ascii="宋体" w:hAnsi="宋体"/>
          <w:color w:val="auto"/>
          <w:szCs w:val="21"/>
          <w:highlight w:val="none"/>
          <w:lang w:eastAsia="zh-CN"/>
        </w:rPr>
        <w:t>10. 需要补充的其他内容</w:t>
      </w:r>
      <w:bookmarkEnd w:id="109"/>
      <w:bookmarkEnd w:id="110"/>
      <w:bookmarkEnd w:id="111"/>
      <w:bookmarkEnd w:id="112"/>
    </w:p>
    <w:p>
      <w:pPr>
        <w:autoSpaceDE w:val="0"/>
        <w:autoSpaceDN w:val="0"/>
        <w:adjustRightInd w:val="0"/>
        <w:snapToGrid w:val="0"/>
        <w:spacing w:line="360" w:lineRule="auto"/>
        <w:ind w:firstLine="420" w:firstLineChars="200"/>
        <w:jc w:val="left"/>
        <w:rPr>
          <w:rFonts w:hint="eastAsia" w:ascii="宋体" w:hAnsi="宋体" w:cs="宋体"/>
          <w:highlight w:val="none"/>
        </w:rPr>
      </w:pPr>
      <w:r>
        <w:rPr>
          <w:rFonts w:hint="eastAsia" w:ascii="宋体" w:hAnsi="宋体" w:cs="宋体"/>
          <w:kern w:val="0"/>
          <w:szCs w:val="21"/>
          <w:highlight w:val="none"/>
        </w:rPr>
        <w:t>需要补充的其他内容：见投标人须知前附表。</w:t>
      </w:r>
    </w:p>
    <w:p>
      <w:pPr>
        <w:pStyle w:val="16"/>
        <w:rPr>
          <w:rFonts w:hint="eastAsia"/>
          <w:highlight w:val="none"/>
        </w:rPr>
      </w:pPr>
      <w:r>
        <w:rPr>
          <w:rFonts w:hint="eastAsia"/>
          <w:highlight w:val="none"/>
        </w:rPr>
        <w:br w:type="page"/>
      </w:r>
      <w:bookmarkStart w:id="113" w:name="_Toc30338"/>
      <w:bookmarkStart w:id="114" w:name="_Toc9810"/>
      <w:bookmarkStart w:id="115" w:name="_Toc32687"/>
      <w:r>
        <w:rPr>
          <w:rFonts w:hint="eastAsia"/>
          <w:highlight w:val="none"/>
        </w:rPr>
        <w:t>第三章  评标办法（综合评估法）</w:t>
      </w:r>
      <w:bookmarkEnd w:id="113"/>
      <w:bookmarkEnd w:id="114"/>
      <w:bookmarkEnd w:id="115"/>
    </w:p>
    <w:p>
      <w:pPr>
        <w:pStyle w:val="3"/>
        <w:widowControl w:val="0"/>
        <w:adjustRightInd w:val="0"/>
        <w:snapToGrid w:val="0"/>
        <w:spacing w:before="0" w:after="0" w:line="400" w:lineRule="exact"/>
        <w:ind w:firstLine="0" w:firstLineChars="0"/>
        <w:rPr>
          <w:rFonts w:hint="eastAsia" w:ascii="宋体" w:hAnsi="宋体"/>
          <w:szCs w:val="21"/>
          <w:highlight w:val="none"/>
          <w:lang w:eastAsia="zh-CN"/>
        </w:rPr>
      </w:pPr>
      <w:bookmarkStart w:id="116" w:name="_Toc30739"/>
      <w:bookmarkStart w:id="117" w:name="_Toc459888246"/>
      <w:bookmarkStart w:id="118" w:name="_Toc27154"/>
      <w:bookmarkStart w:id="119" w:name="_Toc1039"/>
      <w:bookmarkStart w:id="120" w:name="_Toc16324"/>
      <w:bookmarkStart w:id="121" w:name="_Toc499319653"/>
      <w:bookmarkStart w:id="122" w:name="_Toc502857506"/>
      <w:bookmarkStart w:id="123" w:name="_Toc14617"/>
      <w:bookmarkStart w:id="124" w:name="_Toc502857613"/>
      <w:r>
        <w:rPr>
          <w:rFonts w:hint="eastAsia" w:ascii="宋体" w:hAnsi="宋体"/>
          <w:szCs w:val="21"/>
          <w:highlight w:val="none"/>
          <w:lang w:eastAsia="zh-CN"/>
        </w:rPr>
        <w:t>评标办法前附表</w:t>
      </w:r>
      <w:bookmarkEnd w:id="116"/>
      <w:bookmarkEnd w:id="117"/>
      <w:bookmarkEnd w:id="118"/>
      <w:bookmarkEnd w:id="119"/>
      <w:bookmarkEnd w:id="120"/>
      <w:bookmarkEnd w:id="121"/>
      <w:bookmarkEnd w:id="122"/>
      <w:bookmarkEnd w:id="123"/>
      <w:bookmarkEnd w:id="124"/>
    </w:p>
    <w:p>
      <w:pPr>
        <w:autoSpaceDE w:val="0"/>
        <w:autoSpaceDN w:val="0"/>
        <w:adjustRightInd w:val="0"/>
        <w:snapToGrid w:val="0"/>
        <w:spacing w:line="400" w:lineRule="exact"/>
        <w:ind w:firstLine="420" w:firstLineChars="200"/>
        <w:jc w:val="left"/>
        <w:rPr>
          <w:rFonts w:hint="eastAsia" w:ascii="宋体" w:hAnsi="宋体" w:cs="宋体"/>
          <w:kern w:val="0"/>
          <w:szCs w:val="21"/>
          <w:highlight w:val="none"/>
        </w:rPr>
      </w:pPr>
      <w:r>
        <w:rPr>
          <w:szCs w:val="21"/>
          <w:highlight w:val="none"/>
        </w:rPr>
        <w:t>评标办法中的评审内容必须和投标人须知中的对应内容一致，若投标人须知中未作要求的内容，不得列入评标办法作为评定依据。</w:t>
      </w:r>
      <w:r>
        <w:rPr>
          <w:rFonts w:hint="eastAsia" w:ascii="宋体" w:hAnsi="宋体" w:cs="宋体"/>
          <w:bCs/>
          <w:color w:val="000000"/>
          <w:szCs w:val="21"/>
          <w:highlight w:val="none"/>
        </w:rPr>
        <w:t>当评标办法前附表和评标办法正文不一致时以评标办法前附表为准。</w:t>
      </w:r>
    </w:p>
    <w:tbl>
      <w:tblPr>
        <w:tblStyle w:val="15"/>
        <w:tblW w:w="9549" w:type="dxa"/>
        <w:jc w:val="center"/>
        <w:tblInd w:w="0" w:type="dxa"/>
        <w:tblLayout w:type="fixed"/>
        <w:tblCellMar>
          <w:top w:w="0" w:type="dxa"/>
          <w:left w:w="0" w:type="dxa"/>
          <w:bottom w:w="0" w:type="dxa"/>
          <w:right w:w="0" w:type="dxa"/>
        </w:tblCellMar>
      </w:tblPr>
      <w:tblGrid>
        <w:gridCol w:w="900"/>
        <w:gridCol w:w="1123"/>
        <w:gridCol w:w="1796"/>
        <w:gridCol w:w="5730"/>
      </w:tblGrid>
      <w:tr>
        <w:tblPrEx>
          <w:tblLayout w:type="fixed"/>
        </w:tblPrEx>
        <w:trPr>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 w:val="24"/>
                <w:szCs w:val="24"/>
                <w:highlight w:val="none"/>
              </w:rPr>
            </w:pPr>
            <w:r>
              <w:rPr>
                <w:rFonts w:hint="eastAsia" w:ascii="宋体" w:hAnsi="宋体" w:cs="宋体"/>
                <w:kern w:val="0"/>
                <w:szCs w:val="21"/>
                <w:highlight w:val="none"/>
              </w:rPr>
              <w:t>条款号</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 w:val="24"/>
                <w:szCs w:val="24"/>
                <w:highlight w:val="none"/>
              </w:rPr>
            </w:pPr>
            <w:r>
              <w:rPr>
                <w:rFonts w:hint="eastAsia" w:ascii="宋体" w:hAnsi="宋体" w:cs="宋体"/>
                <w:kern w:val="0"/>
                <w:szCs w:val="21"/>
                <w:highlight w:val="none"/>
              </w:rPr>
              <w:t>评审因素</w:t>
            </w:r>
          </w:p>
        </w:tc>
        <w:tc>
          <w:tcPr>
            <w:tcW w:w="5730"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spacing w:line="400" w:lineRule="exact"/>
              <w:jc w:val="center"/>
              <w:rPr>
                <w:rFonts w:hint="eastAsia" w:ascii="宋体" w:hAnsi="宋体" w:cs="宋体"/>
                <w:kern w:val="0"/>
                <w:sz w:val="24"/>
                <w:szCs w:val="24"/>
                <w:highlight w:val="none"/>
              </w:rPr>
            </w:pPr>
            <w:r>
              <w:rPr>
                <w:rFonts w:hint="eastAsia" w:ascii="宋体" w:hAnsi="宋体" w:cs="宋体"/>
                <w:kern w:val="0"/>
                <w:szCs w:val="21"/>
                <w:highlight w:val="none"/>
              </w:rPr>
              <w:t>评审标准</w:t>
            </w:r>
          </w:p>
        </w:tc>
      </w:tr>
      <w:tr>
        <w:tblPrEx>
          <w:tblLayout w:type="fixed"/>
          <w:tblCellMar>
            <w:top w:w="0" w:type="dxa"/>
            <w:left w:w="0" w:type="dxa"/>
            <w:bottom w:w="0" w:type="dxa"/>
            <w:right w:w="0" w:type="dxa"/>
          </w:tblCellMar>
        </w:tblPrEx>
        <w:trP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评标方法</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中标候选人排序</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方法</w:t>
            </w:r>
          </w:p>
        </w:tc>
        <w:tc>
          <w:tcPr>
            <w:tcW w:w="5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综合评分相等时，以投标报价低的优先；投标报价相等的，以技术部分得分高的优先；技术部分得分相等的，</w:t>
            </w:r>
            <w:r>
              <w:rPr>
                <w:szCs w:val="21"/>
                <w:highlight w:val="none"/>
              </w:rPr>
              <w:t>则由评标委员会采用</w:t>
            </w:r>
            <w:r>
              <w:rPr>
                <w:rFonts w:hint="eastAsia"/>
                <w:szCs w:val="21"/>
                <w:highlight w:val="none"/>
              </w:rPr>
              <w:t>投票表决</w:t>
            </w:r>
            <w:r>
              <w:rPr>
                <w:szCs w:val="21"/>
                <w:highlight w:val="none"/>
              </w:rPr>
              <w:t>的方式确定排名顺序。</w:t>
            </w:r>
          </w:p>
        </w:tc>
      </w:tr>
      <w:tr>
        <w:tblPrEx>
          <w:tblLayout w:type="fixed"/>
          <w:tblCellMar>
            <w:top w:w="0" w:type="dxa"/>
            <w:left w:w="0" w:type="dxa"/>
            <w:bottom w:w="0" w:type="dxa"/>
            <w:right w:w="0" w:type="dxa"/>
          </w:tblCellMar>
        </w:tblPrEx>
        <w:trPr>
          <w:jc w:val="center"/>
        </w:trPr>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2.1.1</w:t>
            </w: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形式评审 标准</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投标人名称</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bCs/>
                <w:szCs w:val="21"/>
                <w:highlight w:val="none"/>
              </w:rPr>
              <w:t>与营业执照</w:t>
            </w:r>
            <w:r>
              <w:rPr>
                <w:rFonts w:hint="eastAsia" w:cs="宋体"/>
                <w:bCs/>
                <w:szCs w:val="21"/>
                <w:highlight w:val="none"/>
              </w:rPr>
              <w:t>、资质证书（如有）</w:t>
            </w:r>
            <w:r>
              <w:rPr>
                <w:rFonts w:hint="eastAsia" w:ascii="宋体" w:hAnsi="宋体" w:cs="宋体"/>
                <w:bCs/>
                <w:szCs w:val="21"/>
                <w:highlight w:val="none"/>
              </w:rPr>
              <w:t>一致</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投标函签名盖章</w:t>
            </w:r>
          </w:p>
        </w:tc>
        <w:tc>
          <w:tcPr>
            <w:tcW w:w="5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有法定代表人或其委托代理人签名或加盖单位章。由法定代表人签名的，应附法定代表人身份证明，由代理人签名的，应附授权委托书。</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投标文件格式</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符合第六章“投标文件格式”的规定</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pStyle w:val="17"/>
              <w:snapToGrid w:val="0"/>
              <w:jc w:val="center"/>
              <w:rPr>
                <w:rFonts w:hint="eastAsia" w:hAnsi="宋体" w:cs="宋体"/>
                <w:color w:val="auto"/>
                <w:sz w:val="21"/>
                <w:szCs w:val="21"/>
                <w:highlight w:val="none"/>
              </w:rPr>
            </w:pPr>
            <w:r>
              <w:rPr>
                <w:rFonts w:hint="eastAsia" w:hAnsi="宋体" w:eastAsia="宋体" w:cs="宋体"/>
                <w:bCs/>
                <w:color w:val="auto"/>
                <w:sz w:val="21"/>
                <w:szCs w:val="21"/>
                <w:highlight w:val="none"/>
              </w:rPr>
              <w:t>投标文件的签署</w:t>
            </w:r>
          </w:p>
        </w:tc>
        <w:tc>
          <w:tcPr>
            <w:tcW w:w="5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420" w:firstLineChars="200"/>
              <w:rPr>
                <w:rFonts w:hint="eastAsia" w:ascii="宋体" w:hAnsi="宋体" w:cs="宋体"/>
                <w:kern w:val="0"/>
                <w:szCs w:val="21"/>
                <w:highlight w:val="none"/>
              </w:rPr>
            </w:pPr>
            <w:r>
              <w:rPr>
                <w:rFonts w:ascii="宋体" w:hAnsi="宋体"/>
                <w:kern w:val="0"/>
                <w:highlight w:val="none"/>
              </w:rPr>
              <w:t>投标文件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联合体投标人</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（如有）</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w:t>
            </w:r>
          </w:p>
        </w:tc>
      </w:tr>
      <w:tr>
        <w:tblPrEx>
          <w:tblLayout w:type="fixed"/>
          <w:tblCellMar>
            <w:top w:w="0" w:type="dxa"/>
            <w:left w:w="0" w:type="dxa"/>
            <w:bottom w:w="0" w:type="dxa"/>
            <w:right w:w="0" w:type="dxa"/>
          </w:tblCellMar>
        </w:tblPrEx>
        <w:trPr>
          <w:jc w:val="center"/>
        </w:trPr>
        <w:tc>
          <w:tcPr>
            <w:tcW w:w="900" w:type="dxa"/>
            <w:vMerge w:val="restart"/>
            <w:tcBorders>
              <w:top w:val="single" w:color="000000" w:sz="4" w:space="0"/>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2.1.2</w:t>
            </w:r>
          </w:p>
        </w:tc>
        <w:tc>
          <w:tcPr>
            <w:tcW w:w="1123" w:type="dxa"/>
            <w:vMerge w:val="restart"/>
            <w:tcBorders>
              <w:top w:val="single" w:color="000000" w:sz="4" w:space="0"/>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资格评审 标准</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营业执照</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符合第二章“投标人须知前附表”第1.4.1项规定</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资质要求</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符合第二章“投标人须知前附表”第1.4.1项规定</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财务要求</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业绩要求</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lang w:val="en-US" w:eastAsia="zh-CN"/>
              </w:rPr>
              <w:t>/</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投标截止日投标资格情况</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符合第二章“投标人须知前附表”第1.4.1项规定</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项目负责人</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符合第二章“投标人须知前附表”第1.4.1项规定</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技术负责人</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符合第二章“投标人须知前附表”第1.4.1项规定</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其他要求</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符合第二章“投标人须知前附表”第1.4.1项规定</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联合体投标人</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（如有）</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w:t>
            </w:r>
          </w:p>
        </w:tc>
      </w:tr>
      <w:tr>
        <w:tblPrEx>
          <w:tblLayout w:type="fixed"/>
          <w:tblCellMar>
            <w:top w:w="0" w:type="dxa"/>
            <w:left w:w="0" w:type="dxa"/>
            <w:bottom w:w="0" w:type="dxa"/>
            <w:right w:w="0" w:type="dxa"/>
          </w:tblCellMar>
        </w:tblPrEx>
        <w:trPr>
          <w:jc w:val="center"/>
        </w:trPr>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2.1.3</w:t>
            </w: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响应性评 审标准</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投标报价</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符合第二章“投标人须知”第 3.2 款规定</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投标内容</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符合第二章“投标人须知”第 1.3.1 项规定</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服务期限</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符合第二章“投标人须知”第 1.3.2 项规定</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质量标准</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符合第二章“投标人须知”第 1.3.3 项规定</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投标有效期</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符合第二章“投标人须知”第 3.3.1 项规定</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投标保证金</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符合第二章“投标人须知”第 3.4.1 项规定</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权利义务</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符合第四章“合同条款及格式”规定，投标文件不应有招标人不能接受的条件</w:t>
            </w:r>
            <w:r>
              <w:rPr>
                <w:rFonts w:hint="eastAsia" w:ascii="宋体" w:hAnsi="宋体"/>
                <w:kern w:val="0"/>
                <w:highlight w:val="none"/>
              </w:rPr>
              <w:t>（由投标人承诺，承诺书格式详见第</w:t>
            </w:r>
            <w:r>
              <w:rPr>
                <w:rFonts w:hint="eastAsia"/>
                <w:kern w:val="0"/>
                <w:highlight w:val="none"/>
              </w:rPr>
              <w:t>六</w:t>
            </w:r>
            <w:r>
              <w:rPr>
                <w:rFonts w:hint="eastAsia" w:ascii="宋体" w:hAnsi="宋体"/>
                <w:kern w:val="0"/>
                <w:highlight w:val="none"/>
              </w:rPr>
              <w:t>章投标文件格式。）</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实质性要求</w:t>
            </w:r>
          </w:p>
        </w:tc>
        <w:tc>
          <w:tcPr>
            <w:tcW w:w="5730" w:type="dxa"/>
            <w:tcBorders>
              <w:top w:val="single" w:color="000000" w:sz="4" w:space="0"/>
              <w:left w:val="single" w:color="000000" w:sz="4" w:space="0"/>
              <w:bottom w:val="single" w:color="000000" w:sz="4" w:space="0"/>
              <w:right w:val="single" w:color="000000" w:sz="4" w:space="0"/>
            </w:tcBorders>
            <w:vAlign w:val="center"/>
          </w:tcPr>
          <w:p>
            <w:pPr>
              <w:spacing w:after="62" w:afterLines="2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符合第二章“投标人须知”第1.4.3项规定。</w:t>
            </w:r>
          </w:p>
          <w:p>
            <w:pPr>
              <w:spacing w:after="62" w:afterLines="2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本次投标不得有串通投标、弄虚作假等其他违反招投标相关法律、法规行为。</w:t>
            </w:r>
          </w:p>
          <w:p>
            <w:pPr>
              <w:spacing w:after="62" w:afterLines="2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按评标委员会要求澄清、说明或补正。</w:t>
            </w:r>
          </w:p>
        </w:tc>
      </w:tr>
      <w:tr>
        <w:tblPrEx>
          <w:tblLayout w:type="fixed"/>
          <w:tblCellMar>
            <w:top w:w="0" w:type="dxa"/>
            <w:left w:w="0" w:type="dxa"/>
            <w:bottom w:w="0" w:type="dxa"/>
            <w:right w:w="0" w:type="dxa"/>
          </w:tblCellMar>
        </w:tblPrEx>
        <w:trPr>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条款号</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条款内容</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编列内容</w:t>
            </w:r>
          </w:p>
        </w:tc>
      </w:tr>
      <w:tr>
        <w:tblPrEx>
          <w:tblLayout w:type="fixed"/>
          <w:tblCellMar>
            <w:top w:w="0" w:type="dxa"/>
            <w:left w:w="0" w:type="dxa"/>
            <w:bottom w:w="0" w:type="dxa"/>
            <w:right w:w="0" w:type="dxa"/>
          </w:tblCellMar>
        </w:tblPrEx>
        <w:trPr>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2.2.1</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分值构成</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(总分 100 分)</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商务部分：</w:t>
            </w:r>
            <w:r>
              <w:rPr>
                <w:rFonts w:hint="eastAsia" w:ascii="宋体" w:hAnsi="宋体" w:cs="宋体"/>
                <w:kern w:val="0"/>
                <w:szCs w:val="21"/>
                <w:highlight w:val="none"/>
                <w:u w:val="single"/>
              </w:rPr>
              <w:t>25</w:t>
            </w:r>
            <w:r>
              <w:rPr>
                <w:rFonts w:hint="eastAsia" w:ascii="宋体" w:hAnsi="宋体" w:cs="宋体"/>
                <w:kern w:val="0"/>
                <w:szCs w:val="21"/>
                <w:highlight w:val="none"/>
              </w:rPr>
              <w:t>分；</w:t>
            </w:r>
          </w:p>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技术部分：</w:t>
            </w:r>
            <w:r>
              <w:rPr>
                <w:rFonts w:hint="eastAsia" w:ascii="宋体" w:hAnsi="宋体" w:cs="宋体"/>
                <w:kern w:val="0"/>
                <w:szCs w:val="21"/>
                <w:highlight w:val="none"/>
                <w:u w:val="single"/>
              </w:rPr>
              <w:t>15</w:t>
            </w:r>
            <w:r>
              <w:rPr>
                <w:rFonts w:hint="eastAsia" w:ascii="宋体" w:hAnsi="宋体" w:cs="宋体"/>
                <w:kern w:val="0"/>
                <w:szCs w:val="21"/>
                <w:highlight w:val="none"/>
              </w:rPr>
              <w:t>分；</w:t>
            </w:r>
          </w:p>
          <w:p>
            <w:pPr>
              <w:autoSpaceDE w:val="0"/>
              <w:autoSpaceDN w:val="0"/>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投标报价：</w:t>
            </w:r>
            <w:r>
              <w:rPr>
                <w:rFonts w:hint="eastAsia" w:ascii="宋体" w:hAnsi="宋体" w:cs="宋体"/>
                <w:kern w:val="0"/>
                <w:szCs w:val="21"/>
                <w:highlight w:val="none"/>
                <w:u w:val="single"/>
              </w:rPr>
              <w:t>60</w:t>
            </w:r>
            <w:r>
              <w:rPr>
                <w:rFonts w:hint="eastAsia" w:ascii="宋体" w:hAnsi="宋体" w:cs="宋体"/>
                <w:kern w:val="0"/>
                <w:szCs w:val="21"/>
                <w:highlight w:val="none"/>
              </w:rPr>
              <w:t>分。</w:t>
            </w:r>
          </w:p>
        </w:tc>
      </w:tr>
      <w:tr>
        <w:tblPrEx>
          <w:tblLayout w:type="fixed"/>
          <w:tblCellMar>
            <w:top w:w="0" w:type="dxa"/>
            <w:left w:w="0" w:type="dxa"/>
            <w:bottom w:w="0" w:type="dxa"/>
            <w:right w:w="0" w:type="dxa"/>
          </w:tblCellMar>
        </w:tblPrEx>
        <w:trPr>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2.2.2</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评标基准价</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计算方法</w:t>
            </w:r>
          </w:p>
        </w:tc>
        <w:tc>
          <w:tcPr>
            <w:tcW w:w="573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525" w:firstLineChars="250"/>
              <w:rPr>
                <w:rFonts w:hint="eastAsia" w:ascii="宋体" w:hAnsi="宋体" w:eastAsia="宋体" w:cs="宋体"/>
                <w:sz w:val="21"/>
                <w:szCs w:val="21"/>
              </w:rPr>
            </w:pPr>
            <w:r>
              <w:rPr>
                <w:rFonts w:hint="eastAsia" w:ascii="宋体" w:hAnsi="宋体" w:eastAsia="宋体" w:cs="宋体"/>
                <w:sz w:val="21"/>
                <w:szCs w:val="21"/>
              </w:rPr>
              <w:t>所有通过初步评审的投标人的有效投标总报价中去掉六分之一（不能整除的按小数前整数取整，不足六家报价则不去掉）的最低价和相同家数的最高价后的算术平均值作为投标报价的评标基准价。</w:t>
            </w:r>
          </w:p>
          <w:p>
            <w:pPr>
              <w:snapToGrid w:val="0"/>
              <w:spacing w:line="400" w:lineRule="exact"/>
              <w:ind w:firstLine="525" w:firstLineChars="250"/>
              <w:rPr>
                <w:rFonts w:hint="eastAsia" w:ascii="宋体" w:hAnsi="宋体" w:eastAsia="宋体" w:cs="宋体"/>
                <w:sz w:val="21"/>
                <w:szCs w:val="21"/>
              </w:rPr>
            </w:pPr>
            <w:r>
              <w:rPr>
                <w:rFonts w:hint="eastAsia" w:ascii="宋体" w:hAnsi="宋体" w:eastAsia="宋体" w:cs="宋体"/>
                <w:sz w:val="21"/>
                <w:szCs w:val="21"/>
              </w:rPr>
              <w:t>计算结果保留小数点后两位，小数点后第三位“四舍五入”。</w:t>
            </w:r>
          </w:p>
          <w:p>
            <w:pPr>
              <w:pStyle w:val="19"/>
              <w:adjustRightInd w:val="0"/>
              <w:snapToGrid w:val="0"/>
              <w:spacing w:line="400" w:lineRule="exact"/>
              <w:ind w:firstLine="420" w:firstLineChars="200"/>
              <w:jc w:val="both"/>
              <w:rPr>
                <w:rFonts w:hint="eastAsia"/>
                <w:sz w:val="21"/>
                <w:szCs w:val="21"/>
                <w:highlight w:val="none"/>
              </w:rPr>
            </w:pPr>
            <w:r>
              <w:rPr>
                <w:rFonts w:hint="eastAsia" w:ascii="宋体" w:hAnsi="宋体" w:eastAsia="宋体" w:cs="宋体"/>
                <w:sz w:val="21"/>
                <w:szCs w:val="21"/>
              </w:rPr>
              <w:t>在评标基准价计算完成后（除计算错误外），在后续的评审中不得再对其做出调整。</w:t>
            </w:r>
          </w:p>
        </w:tc>
      </w:tr>
      <w:tr>
        <w:tblPrEx>
          <w:tblLayout w:type="fixed"/>
          <w:tblCellMar>
            <w:top w:w="0" w:type="dxa"/>
            <w:left w:w="0" w:type="dxa"/>
            <w:bottom w:w="0" w:type="dxa"/>
            <w:right w:w="0" w:type="dxa"/>
          </w:tblCellMar>
        </w:tblPrEx>
        <w:trPr>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2.2.3</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投标报价的偏差率 计算公式</w:t>
            </w:r>
          </w:p>
        </w:tc>
        <w:tc>
          <w:tcPr>
            <w:tcW w:w="5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eastAsia="宋体" w:cs="宋体"/>
                <w:sz w:val="21"/>
                <w:szCs w:val="21"/>
              </w:rPr>
              <w:t>偏差率=1OO％×(投标人报价—评标基准价)／评标基准价</w:t>
            </w:r>
          </w:p>
        </w:tc>
      </w:tr>
      <w:tr>
        <w:tblPrEx>
          <w:tblLayout w:type="fixed"/>
          <w:tblCellMar>
            <w:top w:w="0" w:type="dxa"/>
            <w:left w:w="0" w:type="dxa"/>
            <w:bottom w:w="0" w:type="dxa"/>
            <w:right w:w="0" w:type="dxa"/>
          </w:tblCellMar>
        </w:tblPrEx>
        <w:trPr>
          <w:trHeight w:val="340" w:hRule="atLeast"/>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条款号</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评分因素</w:t>
            </w:r>
          </w:p>
        </w:tc>
        <w:tc>
          <w:tcPr>
            <w:tcW w:w="57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评分标准</w:t>
            </w:r>
          </w:p>
        </w:tc>
      </w:tr>
      <w:tr>
        <w:tblPrEx>
          <w:tblLayout w:type="fixed"/>
          <w:tblCellMar>
            <w:top w:w="0" w:type="dxa"/>
            <w:left w:w="0" w:type="dxa"/>
            <w:bottom w:w="0" w:type="dxa"/>
            <w:right w:w="0" w:type="dxa"/>
          </w:tblCellMar>
        </w:tblPrEx>
        <w:trPr>
          <w:trHeight w:val="90"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2.2.4</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商务部分标准（25分）</w:t>
            </w: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企业实力</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bidi w:val="0"/>
              <w:adjustRightInd w:val="0"/>
              <w:snapToGrid w:val="0"/>
              <w:spacing w:line="380" w:lineRule="exact"/>
              <w:ind w:left="0" w:leftChars="0" w:right="0" w:rightChars="0" w:firstLine="420" w:firstLineChars="200"/>
              <w:jc w:val="left"/>
              <w:textAlignment w:val="auto"/>
              <w:outlineLvl w:val="9"/>
              <w:rPr>
                <w:rFonts w:hint="eastAsia"/>
                <w:sz w:val="21"/>
                <w:szCs w:val="21"/>
                <w:highlight w:val="none"/>
                <w:lang w:val="en-US"/>
              </w:rPr>
            </w:pPr>
            <w:r>
              <w:rPr>
                <w:rFonts w:hint="eastAsia"/>
                <w:sz w:val="21"/>
                <w:szCs w:val="21"/>
                <w:highlight w:val="none"/>
                <w:lang w:val="en-US"/>
              </w:rPr>
              <w:t>1.</w:t>
            </w:r>
            <w:r>
              <w:rPr>
                <w:rFonts w:hint="eastAsia"/>
                <w:sz w:val="21"/>
                <w:szCs w:val="21"/>
                <w:highlight w:val="none"/>
                <w:lang w:val="en-US" w:eastAsia="zh-CN"/>
              </w:rPr>
              <w:t>具有有效期内</w:t>
            </w:r>
            <w:r>
              <w:rPr>
                <w:rFonts w:hint="eastAsia"/>
                <w:sz w:val="21"/>
                <w:szCs w:val="21"/>
                <w:highlight w:val="none"/>
                <w:lang w:val="en-US"/>
              </w:rPr>
              <w:t>中国水利水电勘测设计协会“水利建设市场主体信用评价”公告等级为设计类AAA级的得4分，为设计类AA级的得2.5分，为设计类A级的得1分；本项最多得4分。</w:t>
            </w:r>
          </w:p>
          <w:p>
            <w:pPr>
              <w:pStyle w:val="19"/>
              <w:keepNext w:val="0"/>
              <w:keepLines w:val="0"/>
              <w:pageBreakBefore w:val="0"/>
              <w:widowControl w:val="0"/>
              <w:kinsoku/>
              <w:wordWrap/>
              <w:overflowPunct/>
              <w:topLinePunct w:val="0"/>
              <w:bidi w:val="0"/>
              <w:adjustRightInd w:val="0"/>
              <w:snapToGrid w:val="0"/>
              <w:spacing w:line="380" w:lineRule="exact"/>
              <w:ind w:left="0" w:leftChars="0" w:right="0" w:rightChars="0" w:firstLine="420" w:firstLineChars="200"/>
              <w:jc w:val="left"/>
              <w:textAlignment w:val="auto"/>
              <w:outlineLvl w:val="9"/>
              <w:rPr>
                <w:rFonts w:hint="eastAsia"/>
                <w:sz w:val="21"/>
                <w:szCs w:val="21"/>
                <w:highlight w:val="none"/>
                <w:lang w:val="en-US"/>
              </w:rPr>
            </w:pPr>
            <w:r>
              <w:rPr>
                <w:rFonts w:hint="eastAsia"/>
                <w:sz w:val="21"/>
                <w:szCs w:val="21"/>
                <w:highlight w:val="none"/>
                <w:lang w:val="en-US" w:eastAsia="zh-CN"/>
              </w:rPr>
              <w:t>2</w:t>
            </w:r>
            <w:r>
              <w:rPr>
                <w:rFonts w:hint="eastAsia"/>
                <w:sz w:val="21"/>
                <w:szCs w:val="21"/>
                <w:highlight w:val="none"/>
                <w:lang w:val="en-US"/>
              </w:rPr>
              <w:t>.具有</w:t>
            </w:r>
            <w:r>
              <w:rPr>
                <w:rFonts w:hint="eastAsia"/>
                <w:sz w:val="21"/>
                <w:szCs w:val="21"/>
                <w:highlight w:val="none"/>
                <w:lang w:val="en-US" w:eastAsia="zh-CN"/>
              </w:rPr>
              <w:t>有效期内中国水利水电勘测设计协会颁发的</w:t>
            </w:r>
            <w:r>
              <w:rPr>
                <w:rFonts w:hint="eastAsia"/>
                <w:sz w:val="21"/>
                <w:szCs w:val="21"/>
                <w:highlight w:val="none"/>
                <w:lang w:val="en-US"/>
              </w:rPr>
              <w:t>水文</w:t>
            </w:r>
            <w:r>
              <w:rPr>
                <w:rFonts w:hint="eastAsia"/>
                <w:sz w:val="21"/>
                <w:szCs w:val="21"/>
                <w:highlight w:val="none"/>
                <w:lang w:val="en-US" w:eastAsia="zh-CN"/>
              </w:rPr>
              <w:t>、</w:t>
            </w:r>
            <w:r>
              <w:rPr>
                <w:rFonts w:hint="eastAsia"/>
                <w:sz w:val="21"/>
                <w:szCs w:val="21"/>
                <w:highlight w:val="none"/>
                <w:lang w:val="en-US"/>
              </w:rPr>
              <w:t>水资源调查评价</w:t>
            </w:r>
            <w:r>
              <w:rPr>
                <w:rFonts w:hint="eastAsia"/>
                <w:sz w:val="21"/>
                <w:szCs w:val="21"/>
                <w:highlight w:val="none"/>
                <w:lang w:val="en-US" w:eastAsia="zh-CN"/>
              </w:rPr>
              <w:t>单位资质证书，最高为</w:t>
            </w:r>
            <w:r>
              <w:rPr>
                <w:rFonts w:hint="eastAsia"/>
                <w:sz w:val="21"/>
                <w:szCs w:val="21"/>
                <w:highlight w:val="none"/>
                <w:lang w:val="en-US"/>
              </w:rPr>
              <w:t>甲级资质</w:t>
            </w:r>
            <w:r>
              <w:rPr>
                <w:rFonts w:hint="eastAsia"/>
                <w:sz w:val="21"/>
                <w:szCs w:val="21"/>
                <w:highlight w:val="none"/>
                <w:lang w:val="en-US" w:eastAsia="zh-CN"/>
              </w:rPr>
              <w:t>的</w:t>
            </w:r>
            <w:r>
              <w:rPr>
                <w:rFonts w:hint="eastAsia"/>
                <w:sz w:val="21"/>
                <w:szCs w:val="21"/>
                <w:highlight w:val="none"/>
                <w:lang w:val="en-US"/>
              </w:rPr>
              <w:t>得</w:t>
            </w:r>
            <w:r>
              <w:rPr>
                <w:rFonts w:hint="eastAsia"/>
                <w:sz w:val="21"/>
                <w:szCs w:val="21"/>
                <w:highlight w:val="none"/>
                <w:lang w:val="en-US" w:eastAsia="zh-CN"/>
              </w:rPr>
              <w:t>4</w:t>
            </w:r>
            <w:r>
              <w:rPr>
                <w:rFonts w:hint="eastAsia"/>
                <w:sz w:val="21"/>
                <w:szCs w:val="21"/>
                <w:highlight w:val="none"/>
                <w:lang w:val="en-US"/>
              </w:rPr>
              <w:t>分，</w:t>
            </w:r>
            <w:r>
              <w:rPr>
                <w:rFonts w:hint="eastAsia"/>
                <w:sz w:val="21"/>
                <w:szCs w:val="21"/>
                <w:highlight w:val="none"/>
                <w:lang w:val="en-US" w:eastAsia="zh-CN"/>
              </w:rPr>
              <w:t>最高为</w:t>
            </w:r>
            <w:r>
              <w:rPr>
                <w:rFonts w:hint="eastAsia"/>
                <w:sz w:val="21"/>
                <w:szCs w:val="21"/>
                <w:highlight w:val="none"/>
                <w:lang w:val="en-US"/>
              </w:rPr>
              <w:t>乙级资质</w:t>
            </w:r>
            <w:r>
              <w:rPr>
                <w:rFonts w:hint="eastAsia"/>
                <w:sz w:val="21"/>
                <w:szCs w:val="21"/>
                <w:highlight w:val="none"/>
                <w:lang w:val="en-US" w:eastAsia="zh-CN"/>
              </w:rPr>
              <w:t>的</w:t>
            </w:r>
            <w:r>
              <w:rPr>
                <w:rFonts w:hint="eastAsia"/>
                <w:sz w:val="21"/>
                <w:szCs w:val="21"/>
                <w:highlight w:val="none"/>
                <w:lang w:val="en-US"/>
              </w:rPr>
              <w:t>得</w:t>
            </w:r>
            <w:r>
              <w:rPr>
                <w:rFonts w:hint="eastAsia"/>
                <w:sz w:val="21"/>
                <w:szCs w:val="21"/>
                <w:highlight w:val="none"/>
                <w:lang w:val="en-US" w:eastAsia="zh-CN"/>
              </w:rPr>
              <w:t>2</w:t>
            </w:r>
            <w:r>
              <w:rPr>
                <w:rFonts w:hint="eastAsia"/>
                <w:sz w:val="21"/>
                <w:szCs w:val="21"/>
                <w:highlight w:val="none"/>
                <w:lang w:val="en-US"/>
              </w:rPr>
              <w:t>分。本项最多得</w:t>
            </w:r>
            <w:r>
              <w:rPr>
                <w:rFonts w:hint="eastAsia"/>
                <w:sz w:val="21"/>
                <w:szCs w:val="21"/>
                <w:highlight w:val="none"/>
                <w:lang w:val="en-US" w:eastAsia="zh-CN"/>
              </w:rPr>
              <w:t>4</w:t>
            </w:r>
            <w:r>
              <w:rPr>
                <w:rFonts w:hint="eastAsia"/>
                <w:sz w:val="21"/>
                <w:szCs w:val="21"/>
                <w:highlight w:val="none"/>
                <w:lang w:val="en-US"/>
              </w:rPr>
              <w:t>分。</w:t>
            </w:r>
          </w:p>
          <w:p>
            <w:pPr>
              <w:pStyle w:val="19"/>
              <w:keepNext w:val="0"/>
              <w:keepLines w:val="0"/>
              <w:pageBreakBefore w:val="0"/>
              <w:widowControl w:val="0"/>
              <w:kinsoku/>
              <w:wordWrap/>
              <w:overflowPunct/>
              <w:topLinePunct w:val="0"/>
              <w:bidi w:val="0"/>
              <w:adjustRightInd w:val="0"/>
              <w:snapToGrid w:val="0"/>
              <w:spacing w:line="380" w:lineRule="exact"/>
              <w:ind w:left="0" w:leftChars="0" w:right="0" w:rightChars="0" w:firstLine="422" w:firstLineChars="200"/>
              <w:jc w:val="left"/>
              <w:textAlignment w:val="auto"/>
              <w:outlineLvl w:val="9"/>
              <w:rPr>
                <w:rFonts w:hint="eastAsia"/>
                <w:sz w:val="21"/>
                <w:szCs w:val="21"/>
                <w:highlight w:val="none"/>
                <w:lang w:val="en-US"/>
              </w:rPr>
            </w:pPr>
            <w:r>
              <w:rPr>
                <w:rFonts w:hint="eastAsia"/>
                <w:b/>
                <w:bCs/>
                <w:sz w:val="21"/>
                <w:szCs w:val="21"/>
                <w:highlight w:val="none"/>
                <w:lang w:val="en-US"/>
              </w:rPr>
              <w:t>提供：上述证明资料复印件。</w:t>
            </w:r>
          </w:p>
        </w:tc>
      </w:tr>
      <w:tr>
        <w:tblPrEx>
          <w:tblLayout w:type="fixed"/>
          <w:tblCellMar>
            <w:top w:w="0" w:type="dxa"/>
            <w:left w:w="0" w:type="dxa"/>
            <w:bottom w:w="0" w:type="dxa"/>
            <w:right w:w="0" w:type="dxa"/>
          </w:tblCellMar>
        </w:tblPrEx>
        <w:trPr>
          <w:trHeight w:val="445" w:hRule="atLeast"/>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企业业绩</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w:t>
            </w:r>
            <w:r>
              <w:rPr>
                <w:rFonts w:hint="default" w:ascii="宋体" w:hAnsi="宋体" w:cs="宋体"/>
                <w:kern w:val="0"/>
                <w:szCs w:val="21"/>
                <w:highlight w:val="none"/>
                <w:lang w:val="en-US"/>
              </w:rPr>
              <w:t>1</w:t>
            </w:r>
            <w:r>
              <w:rPr>
                <w:rFonts w:hint="default" w:ascii="宋体" w:hAnsi="宋体" w:cs="宋体"/>
                <w:kern w:val="0"/>
                <w:szCs w:val="21"/>
                <w:highlight w:val="none"/>
                <w:lang w:val="en-US" w:eastAsia="zh-CN"/>
              </w:rPr>
              <w:t>2</w:t>
            </w:r>
            <w:r>
              <w:rPr>
                <w:rFonts w:hint="eastAsia" w:ascii="宋体" w:hAnsi="宋体" w:cs="宋体"/>
                <w:kern w:val="0"/>
                <w:szCs w:val="21"/>
                <w:highlight w:val="none"/>
              </w:rPr>
              <w:t>分）</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bidi w:val="0"/>
              <w:adjustRightInd w:val="0"/>
              <w:snapToGrid w:val="0"/>
              <w:spacing w:line="380" w:lineRule="exact"/>
              <w:ind w:left="0" w:leftChars="0" w:right="0" w:rightChars="0" w:firstLine="420" w:firstLineChars="200"/>
              <w:jc w:val="left"/>
              <w:textAlignment w:val="auto"/>
              <w:outlineLvl w:val="9"/>
              <w:rPr>
                <w:rFonts w:hint="eastAsia"/>
                <w:sz w:val="21"/>
                <w:szCs w:val="21"/>
                <w:highlight w:val="none"/>
                <w:lang w:val="en-US"/>
              </w:rPr>
            </w:pPr>
            <w:r>
              <w:rPr>
                <w:rFonts w:hint="eastAsia"/>
                <w:sz w:val="21"/>
                <w:szCs w:val="21"/>
                <w:highlight w:val="none"/>
                <w:lang w:val="en-US"/>
              </w:rPr>
              <w:t>2017年1月1日至</w:t>
            </w:r>
            <w:r>
              <w:rPr>
                <w:rFonts w:hint="eastAsia"/>
                <w:sz w:val="21"/>
                <w:szCs w:val="21"/>
                <w:highlight w:val="none"/>
                <w:lang w:val="en-US" w:eastAsia="zh-CN"/>
              </w:rPr>
              <w:t>投标</w:t>
            </w:r>
            <w:r>
              <w:rPr>
                <w:rFonts w:hint="eastAsia"/>
                <w:sz w:val="21"/>
                <w:szCs w:val="21"/>
                <w:highlight w:val="none"/>
                <w:lang w:val="en-US"/>
              </w:rPr>
              <w:t>截止日止（以合同签订时间为准），投标人</w:t>
            </w:r>
            <w:r>
              <w:rPr>
                <w:rFonts w:hint="eastAsia"/>
                <w:sz w:val="21"/>
                <w:szCs w:val="21"/>
                <w:highlight w:val="none"/>
                <w:lang w:val="en-US" w:eastAsia="zh-CN"/>
              </w:rPr>
              <w:t>每</w:t>
            </w:r>
            <w:r>
              <w:rPr>
                <w:rFonts w:hint="eastAsia"/>
                <w:sz w:val="21"/>
                <w:szCs w:val="21"/>
                <w:highlight w:val="none"/>
                <w:lang w:val="en-US"/>
              </w:rPr>
              <w:t>具有</w:t>
            </w:r>
            <w:r>
              <w:rPr>
                <w:rFonts w:hint="eastAsia"/>
                <w:sz w:val="21"/>
                <w:szCs w:val="21"/>
                <w:highlight w:val="none"/>
                <w:lang w:val="en-US" w:eastAsia="zh-CN"/>
              </w:rPr>
              <w:t>一个涉及6条（及以上）河流</w:t>
            </w:r>
            <w:r>
              <w:rPr>
                <w:rFonts w:hint="eastAsia"/>
                <w:sz w:val="21"/>
                <w:szCs w:val="21"/>
                <w:highlight w:val="none"/>
                <w:lang w:val="en-US"/>
              </w:rPr>
              <w:t>的</w:t>
            </w:r>
            <w:r>
              <w:rPr>
                <w:rFonts w:hint="eastAsia"/>
                <w:sz w:val="21"/>
                <w:szCs w:val="21"/>
                <w:highlight w:val="none"/>
                <w:lang w:val="en-US" w:eastAsia="zh-CN"/>
              </w:rPr>
              <w:t>防洪专项研究</w:t>
            </w:r>
            <w:r>
              <w:rPr>
                <w:rFonts w:hint="eastAsia"/>
                <w:sz w:val="21"/>
                <w:szCs w:val="21"/>
                <w:highlight w:val="none"/>
                <w:lang w:val="en-US"/>
              </w:rPr>
              <w:t>业绩</w:t>
            </w:r>
            <w:r>
              <w:rPr>
                <w:rFonts w:hint="eastAsia"/>
                <w:sz w:val="21"/>
                <w:szCs w:val="21"/>
                <w:highlight w:val="none"/>
                <w:lang w:val="en-US" w:eastAsia="zh-CN"/>
              </w:rPr>
              <w:t>，或涉及6条（及以上）河流</w:t>
            </w:r>
            <w:r>
              <w:rPr>
                <w:rFonts w:hint="eastAsia"/>
                <w:sz w:val="21"/>
                <w:szCs w:val="21"/>
                <w:highlight w:val="none"/>
                <w:lang w:val="en-US"/>
              </w:rPr>
              <w:t>的水系规划业绩</w:t>
            </w:r>
            <w:r>
              <w:rPr>
                <w:rFonts w:hint="eastAsia"/>
                <w:sz w:val="21"/>
                <w:szCs w:val="21"/>
                <w:highlight w:val="none"/>
                <w:lang w:val="en-US" w:eastAsia="zh-CN"/>
              </w:rPr>
              <w:t>，</w:t>
            </w:r>
            <w:r>
              <w:rPr>
                <w:rFonts w:hint="eastAsia"/>
                <w:sz w:val="21"/>
                <w:szCs w:val="21"/>
                <w:highlight w:val="none"/>
                <w:lang w:val="en-US"/>
              </w:rPr>
              <w:t>或</w:t>
            </w:r>
            <w:r>
              <w:rPr>
                <w:rFonts w:hint="eastAsia"/>
                <w:sz w:val="21"/>
                <w:szCs w:val="21"/>
                <w:highlight w:val="none"/>
                <w:lang w:val="en-US" w:eastAsia="zh-CN"/>
              </w:rPr>
              <w:t>涉及6条（及以上）河流</w:t>
            </w:r>
            <w:r>
              <w:rPr>
                <w:rFonts w:hint="eastAsia"/>
                <w:sz w:val="21"/>
                <w:szCs w:val="21"/>
                <w:highlight w:val="none"/>
                <w:lang w:val="en-US"/>
              </w:rPr>
              <w:t>的洪水影响评价区域论证业绩</w:t>
            </w:r>
            <w:r>
              <w:rPr>
                <w:rFonts w:hint="eastAsia"/>
                <w:sz w:val="21"/>
                <w:szCs w:val="21"/>
                <w:highlight w:val="none"/>
                <w:lang w:val="en-US" w:eastAsia="zh-CN"/>
              </w:rPr>
              <w:t>，</w:t>
            </w:r>
            <w:r>
              <w:rPr>
                <w:rFonts w:hint="eastAsia"/>
                <w:sz w:val="21"/>
                <w:szCs w:val="21"/>
                <w:highlight w:val="none"/>
                <w:lang w:val="en-US"/>
              </w:rPr>
              <w:t>得</w:t>
            </w:r>
            <w:r>
              <w:rPr>
                <w:rFonts w:hint="eastAsia"/>
                <w:sz w:val="21"/>
                <w:szCs w:val="21"/>
                <w:highlight w:val="none"/>
                <w:lang w:val="en-US" w:eastAsia="zh-CN"/>
              </w:rPr>
              <w:t>4</w:t>
            </w:r>
            <w:r>
              <w:rPr>
                <w:rFonts w:hint="eastAsia"/>
                <w:sz w:val="21"/>
                <w:szCs w:val="21"/>
                <w:highlight w:val="none"/>
                <w:lang w:val="en-US"/>
              </w:rPr>
              <w:t>分，最多得</w:t>
            </w:r>
            <w:r>
              <w:rPr>
                <w:rFonts w:hint="eastAsia"/>
                <w:sz w:val="21"/>
                <w:szCs w:val="21"/>
                <w:highlight w:val="none"/>
                <w:lang w:val="en-US" w:eastAsia="zh-CN"/>
              </w:rPr>
              <w:t>12</w:t>
            </w:r>
            <w:r>
              <w:rPr>
                <w:rFonts w:hint="eastAsia"/>
                <w:sz w:val="21"/>
                <w:szCs w:val="21"/>
                <w:highlight w:val="none"/>
                <w:lang w:val="en-US"/>
              </w:rPr>
              <w:t>分。</w:t>
            </w:r>
          </w:p>
          <w:p>
            <w:pPr>
              <w:keepNext w:val="0"/>
              <w:keepLines w:val="0"/>
              <w:pageBreakBefore w:val="0"/>
              <w:widowControl w:val="0"/>
              <w:kinsoku/>
              <w:wordWrap/>
              <w:overflowPunct/>
              <w:topLinePunct w:val="0"/>
              <w:bidi w:val="0"/>
              <w:adjustRightInd w:val="0"/>
              <w:snapToGrid w:val="0"/>
              <w:spacing w:line="380" w:lineRule="exact"/>
              <w:ind w:left="0" w:leftChars="0" w:right="0" w:rightChars="0" w:firstLine="422" w:firstLineChars="200"/>
              <w:jc w:val="left"/>
              <w:textAlignment w:val="auto"/>
              <w:outlineLvl w:val="9"/>
              <w:rPr>
                <w:rFonts w:hint="eastAsia"/>
                <w:b/>
                <w:bCs/>
                <w:sz w:val="21"/>
                <w:szCs w:val="21"/>
                <w:highlight w:val="none"/>
                <w:lang w:val="en-US"/>
              </w:rPr>
            </w:pPr>
            <w:r>
              <w:rPr>
                <w:rFonts w:hint="eastAsia"/>
                <w:b/>
                <w:bCs/>
                <w:sz w:val="21"/>
                <w:szCs w:val="21"/>
                <w:highlight w:val="none"/>
                <w:lang w:val="en-US"/>
              </w:rPr>
              <w:t>注：以上业绩提供合同复印件，若合同不能反应项目特征，则须补充提供该项目业主盖章的证明文件复印件</w:t>
            </w:r>
            <w:r>
              <w:rPr>
                <w:rFonts w:hint="eastAsia"/>
                <w:b/>
                <w:bCs/>
                <w:sz w:val="21"/>
                <w:szCs w:val="21"/>
                <w:highlight w:val="none"/>
                <w:lang w:val="en-US" w:eastAsia="zh-CN"/>
              </w:rPr>
              <w:t>，或专家评审意见复印件，</w:t>
            </w:r>
            <w:r>
              <w:rPr>
                <w:rFonts w:hint="eastAsia"/>
                <w:b/>
                <w:bCs/>
                <w:sz w:val="21"/>
                <w:szCs w:val="21"/>
                <w:highlight w:val="none"/>
                <w:lang w:val="en-US"/>
              </w:rPr>
              <w:t>或</w:t>
            </w:r>
            <w:r>
              <w:rPr>
                <w:rFonts w:hint="eastAsia"/>
                <w:b/>
                <w:bCs/>
                <w:sz w:val="21"/>
                <w:szCs w:val="21"/>
                <w:highlight w:val="none"/>
                <w:lang w:val="en-US" w:eastAsia="zh-CN"/>
              </w:rPr>
              <w:t>行业</w:t>
            </w:r>
            <w:r>
              <w:rPr>
                <w:rFonts w:hint="eastAsia"/>
                <w:b/>
                <w:bCs/>
                <w:sz w:val="21"/>
                <w:szCs w:val="21"/>
                <w:highlight w:val="none"/>
                <w:lang w:val="en-US"/>
              </w:rPr>
              <w:t>行政主管部门出具的成果批复文件复印件。</w:t>
            </w:r>
          </w:p>
        </w:tc>
      </w:tr>
      <w:tr>
        <w:tblPrEx>
          <w:tblLayout w:type="fixed"/>
          <w:tblCellMar>
            <w:top w:w="0" w:type="dxa"/>
            <w:left w:w="0" w:type="dxa"/>
            <w:bottom w:w="0" w:type="dxa"/>
            <w:right w:w="0" w:type="dxa"/>
          </w:tblCellMar>
        </w:tblPrEx>
        <w:trPr>
          <w:jc w:val="cent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项目人力资源配置（</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bidi w:val="0"/>
              <w:adjustRightInd w:val="0"/>
              <w:snapToGrid w:val="0"/>
              <w:spacing w:line="380" w:lineRule="exact"/>
              <w:ind w:left="0" w:leftChars="0" w:right="0" w:rightChars="0" w:firstLine="420" w:firstLineChars="200"/>
              <w:jc w:val="both"/>
              <w:textAlignment w:val="auto"/>
              <w:outlineLvl w:val="9"/>
              <w:rPr>
                <w:rFonts w:hint="eastAsia"/>
                <w:sz w:val="21"/>
                <w:szCs w:val="21"/>
                <w:highlight w:val="none"/>
                <w:lang w:val="en-US"/>
              </w:rPr>
            </w:pPr>
            <w:r>
              <w:rPr>
                <w:rFonts w:hint="eastAsia"/>
                <w:sz w:val="21"/>
                <w:szCs w:val="21"/>
                <w:highlight w:val="none"/>
                <w:lang w:val="en-US"/>
              </w:rPr>
              <w:t>1.拟派项目负责人或技术负责人具有注册土木工程师（水利水电工程规划）的得</w:t>
            </w:r>
            <w:r>
              <w:rPr>
                <w:rFonts w:hint="eastAsia"/>
                <w:sz w:val="21"/>
                <w:szCs w:val="21"/>
                <w:highlight w:val="none"/>
                <w:lang w:val="en-US" w:eastAsia="zh-CN"/>
              </w:rPr>
              <w:t>1.5</w:t>
            </w:r>
            <w:r>
              <w:rPr>
                <w:rFonts w:hint="eastAsia"/>
                <w:sz w:val="21"/>
                <w:szCs w:val="21"/>
                <w:highlight w:val="none"/>
                <w:lang w:val="en-US"/>
              </w:rPr>
              <w:t>分。本项最多得</w:t>
            </w:r>
            <w:r>
              <w:rPr>
                <w:rFonts w:hint="default"/>
                <w:sz w:val="21"/>
                <w:szCs w:val="21"/>
                <w:highlight w:val="none"/>
                <w:lang w:val="en-US"/>
              </w:rPr>
              <w:t>3</w:t>
            </w:r>
            <w:r>
              <w:rPr>
                <w:rFonts w:hint="eastAsia"/>
                <w:sz w:val="21"/>
                <w:szCs w:val="21"/>
                <w:highlight w:val="none"/>
                <w:lang w:val="en-US"/>
              </w:rPr>
              <w:t>分。</w:t>
            </w:r>
          </w:p>
          <w:p>
            <w:pPr>
              <w:pStyle w:val="19"/>
              <w:keepNext w:val="0"/>
              <w:keepLines w:val="0"/>
              <w:pageBreakBefore w:val="0"/>
              <w:widowControl w:val="0"/>
              <w:kinsoku/>
              <w:wordWrap/>
              <w:overflowPunct/>
              <w:topLinePunct w:val="0"/>
              <w:bidi w:val="0"/>
              <w:adjustRightInd w:val="0"/>
              <w:snapToGrid w:val="0"/>
              <w:spacing w:line="380" w:lineRule="exact"/>
              <w:ind w:left="0" w:leftChars="0" w:right="0" w:rightChars="0" w:firstLine="420" w:firstLineChars="200"/>
              <w:jc w:val="both"/>
              <w:textAlignment w:val="auto"/>
              <w:outlineLvl w:val="9"/>
              <w:rPr>
                <w:rFonts w:hint="eastAsia" w:eastAsia="宋体"/>
                <w:b/>
                <w:szCs w:val="21"/>
                <w:highlight w:val="none"/>
                <w:lang w:val="en-US" w:eastAsia="zh-CN"/>
              </w:rPr>
            </w:pPr>
            <w:r>
              <w:rPr>
                <w:rFonts w:hint="eastAsia"/>
                <w:sz w:val="21"/>
                <w:szCs w:val="21"/>
                <w:highlight w:val="none"/>
                <w:lang w:val="en-US"/>
              </w:rPr>
              <w:t>2.拟派专业技术人员（不含项目负责人、技术负责人）各专业配置合理，分别具有水工类、水文类、地质类、水利规划专业中级及以上职称的各1人，得</w:t>
            </w:r>
            <w:r>
              <w:rPr>
                <w:rFonts w:hint="eastAsia"/>
                <w:sz w:val="21"/>
                <w:szCs w:val="21"/>
                <w:highlight w:val="none"/>
                <w:lang w:val="en-US" w:eastAsia="zh-CN"/>
              </w:rPr>
              <w:t>2</w:t>
            </w:r>
            <w:r>
              <w:rPr>
                <w:rFonts w:hint="eastAsia"/>
                <w:sz w:val="21"/>
                <w:szCs w:val="21"/>
                <w:highlight w:val="none"/>
                <w:lang w:val="en-US"/>
              </w:rPr>
              <w:t>分</w:t>
            </w:r>
            <w:r>
              <w:rPr>
                <w:rFonts w:hint="eastAsia"/>
                <w:sz w:val="21"/>
                <w:szCs w:val="21"/>
                <w:highlight w:val="none"/>
                <w:lang w:val="en-US" w:eastAsia="zh-CN"/>
              </w:rPr>
              <w:t>；具有其中3</w:t>
            </w:r>
            <w:r>
              <w:rPr>
                <w:rFonts w:hint="eastAsia"/>
                <w:sz w:val="21"/>
                <w:szCs w:val="21"/>
                <w:highlight w:val="none"/>
                <w:lang w:val="en-US"/>
              </w:rPr>
              <w:t>种专业的中级及以上职称人员，</w:t>
            </w:r>
            <w:r>
              <w:rPr>
                <w:rFonts w:hint="eastAsia"/>
                <w:sz w:val="21"/>
                <w:szCs w:val="21"/>
                <w:highlight w:val="none"/>
                <w:lang w:val="en-US" w:eastAsia="zh-CN"/>
              </w:rPr>
              <w:t>得1.5</w:t>
            </w:r>
            <w:r>
              <w:rPr>
                <w:rFonts w:hint="eastAsia"/>
                <w:sz w:val="21"/>
                <w:szCs w:val="21"/>
                <w:highlight w:val="none"/>
                <w:lang w:val="en-US"/>
              </w:rPr>
              <w:t>分</w:t>
            </w:r>
            <w:r>
              <w:rPr>
                <w:rFonts w:hint="eastAsia"/>
                <w:sz w:val="21"/>
                <w:szCs w:val="21"/>
                <w:highlight w:val="none"/>
                <w:lang w:val="en-US" w:eastAsia="zh-CN"/>
              </w:rPr>
              <w:t>；具有其中2</w:t>
            </w:r>
            <w:r>
              <w:rPr>
                <w:rFonts w:hint="eastAsia"/>
                <w:sz w:val="21"/>
                <w:szCs w:val="21"/>
                <w:highlight w:val="none"/>
                <w:lang w:val="en-US"/>
              </w:rPr>
              <w:t>种专业的中级及以上职称人员，</w:t>
            </w:r>
            <w:r>
              <w:rPr>
                <w:rFonts w:hint="eastAsia"/>
                <w:sz w:val="21"/>
                <w:szCs w:val="21"/>
                <w:highlight w:val="none"/>
                <w:lang w:val="en-US" w:eastAsia="zh-CN"/>
              </w:rPr>
              <w:t>得1</w:t>
            </w:r>
            <w:r>
              <w:rPr>
                <w:rFonts w:hint="eastAsia"/>
                <w:sz w:val="21"/>
                <w:szCs w:val="21"/>
                <w:highlight w:val="none"/>
                <w:lang w:val="en-US"/>
              </w:rPr>
              <w:t>分</w:t>
            </w:r>
            <w:r>
              <w:rPr>
                <w:rFonts w:hint="eastAsia"/>
                <w:sz w:val="21"/>
                <w:szCs w:val="21"/>
                <w:highlight w:val="none"/>
                <w:lang w:val="en-US" w:eastAsia="zh-CN"/>
              </w:rPr>
              <w:t>；具有其中1</w:t>
            </w:r>
            <w:r>
              <w:rPr>
                <w:rFonts w:hint="eastAsia"/>
                <w:sz w:val="21"/>
                <w:szCs w:val="21"/>
                <w:highlight w:val="none"/>
                <w:lang w:val="en-US"/>
              </w:rPr>
              <w:t>种专业的中级及以上职称人员，</w:t>
            </w:r>
            <w:r>
              <w:rPr>
                <w:rFonts w:hint="eastAsia"/>
                <w:sz w:val="21"/>
                <w:szCs w:val="21"/>
                <w:highlight w:val="none"/>
                <w:lang w:val="en-US" w:eastAsia="zh-CN"/>
              </w:rPr>
              <w:t>得0.5</w:t>
            </w:r>
            <w:r>
              <w:rPr>
                <w:rFonts w:hint="eastAsia"/>
                <w:sz w:val="21"/>
                <w:szCs w:val="21"/>
                <w:highlight w:val="none"/>
                <w:lang w:val="en-US"/>
              </w:rPr>
              <w:t>分</w:t>
            </w:r>
            <w:r>
              <w:rPr>
                <w:rFonts w:hint="eastAsia"/>
                <w:sz w:val="21"/>
                <w:szCs w:val="21"/>
                <w:highlight w:val="none"/>
                <w:lang w:val="en-US" w:eastAsia="zh-CN"/>
              </w:rPr>
              <w:t>；</w:t>
            </w:r>
            <w:r>
              <w:rPr>
                <w:rFonts w:hint="eastAsia"/>
                <w:sz w:val="21"/>
                <w:szCs w:val="21"/>
                <w:highlight w:val="none"/>
                <w:lang w:val="en-US"/>
              </w:rPr>
              <w:t>本项最多得</w:t>
            </w:r>
            <w:r>
              <w:rPr>
                <w:rFonts w:hint="eastAsia"/>
                <w:sz w:val="21"/>
                <w:szCs w:val="21"/>
                <w:highlight w:val="none"/>
                <w:lang w:val="en-US" w:eastAsia="zh-CN"/>
              </w:rPr>
              <w:t>2</w:t>
            </w:r>
            <w:r>
              <w:rPr>
                <w:rFonts w:hint="eastAsia"/>
                <w:sz w:val="21"/>
                <w:szCs w:val="21"/>
                <w:highlight w:val="none"/>
                <w:lang w:val="en-US"/>
              </w:rPr>
              <w:t>分。</w:t>
            </w:r>
          </w:p>
          <w:p>
            <w:pPr>
              <w:pStyle w:val="7"/>
              <w:keepNext w:val="0"/>
              <w:keepLines w:val="0"/>
              <w:pageBreakBefore w:val="0"/>
              <w:widowControl w:val="0"/>
              <w:kinsoku/>
              <w:wordWrap/>
              <w:overflowPunct/>
              <w:topLinePunct w:val="0"/>
              <w:bidi w:val="0"/>
              <w:adjustRightInd w:val="0"/>
              <w:snapToGrid w:val="0"/>
              <w:spacing w:line="380" w:lineRule="exact"/>
              <w:ind w:left="0" w:leftChars="0" w:right="0" w:rightChars="0" w:firstLine="422" w:firstLineChars="200"/>
              <w:textAlignment w:val="auto"/>
              <w:outlineLvl w:val="9"/>
              <w:rPr>
                <w:rFonts w:hint="eastAsia" w:ascii="宋体" w:hAnsi="宋体" w:cs="宋体"/>
                <w:b/>
                <w:szCs w:val="21"/>
                <w:highlight w:val="none"/>
              </w:rPr>
            </w:pPr>
            <w:r>
              <w:rPr>
                <w:rFonts w:hint="eastAsia" w:ascii="宋体" w:hAnsi="宋体" w:cs="宋体"/>
                <w:b/>
                <w:szCs w:val="21"/>
                <w:highlight w:val="none"/>
              </w:rPr>
              <w:t>注：1.上述人员身份证、职称证、资格证、</w:t>
            </w:r>
            <w:r>
              <w:rPr>
                <w:rFonts w:hint="eastAsia" w:ascii="宋体" w:hAnsi="宋体"/>
                <w:b/>
                <w:kern w:val="0"/>
                <w:szCs w:val="21"/>
                <w:highlight w:val="none"/>
              </w:rPr>
              <w:t>投标人为其缴纳的养老保险证明材料</w:t>
            </w:r>
            <w:r>
              <w:rPr>
                <w:rFonts w:hint="eastAsia" w:ascii="宋体" w:hAnsi="宋体" w:cs="宋体"/>
                <w:b/>
                <w:szCs w:val="21"/>
                <w:highlight w:val="none"/>
              </w:rPr>
              <w:t>复印件。</w:t>
            </w:r>
          </w:p>
          <w:p>
            <w:pPr>
              <w:pStyle w:val="7"/>
              <w:keepNext w:val="0"/>
              <w:keepLines w:val="0"/>
              <w:pageBreakBefore w:val="0"/>
              <w:widowControl w:val="0"/>
              <w:kinsoku/>
              <w:wordWrap/>
              <w:overflowPunct/>
              <w:topLinePunct w:val="0"/>
              <w:bidi w:val="0"/>
              <w:adjustRightInd w:val="0"/>
              <w:snapToGrid w:val="0"/>
              <w:spacing w:line="380" w:lineRule="exact"/>
              <w:ind w:left="0" w:leftChars="0" w:right="0" w:rightChars="0" w:firstLine="422" w:firstLineChars="200"/>
              <w:textAlignment w:val="auto"/>
              <w:outlineLvl w:val="9"/>
              <w:rPr>
                <w:rFonts w:ascii="宋体" w:hAnsi="宋体" w:cs="宋体"/>
                <w:b/>
                <w:szCs w:val="21"/>
                <w:highlight w:val="none"/>
              </w:rPr>
            </w:pPr>
            <w:r>
              <w:rPr>
                <w:rFonts w:hint="eastAsia" w:ascii="宋体" w:hAnsi="宋体" w:cs="宋体"/>
                <w:b/>
                <w:szCs w:val="21"/>
                <w:highlight w:val="none"/>
              </w:rPr>
              <w:t>2.水工类包括水利水电工程、水工建筑、水工结构、水工技术专业、水利工程</w:t>
            </w:r>
            <w:r>
              <w:rPr>
                <w:rFonts w:hint="eastAsia" w:ascii="宋体" w:hAnsi="宋体" w:cs="宋体"/>
                <w:b/>
                <w:szCs w:val="21"/>
                <w:highlight w:val="none"/>
                <w:lang w:eastAsia="zh-CN"/>
              </w:rPr>
              <w:t>等</w:t>
            </w:r>
            <w:r>
              <w:rPr>
                <w:rFonts w:hint="eastAsia" w:ascii="宋体" w:hAnsi="宋体" w:cs="宋体"/>
                <w:b/>
                <w:szCs w:val="21"/>
                <w:highlight w:val="none"/>
              </w:rPr>
              <w:t>；水文类包括水文与水资源、水文水资源、陆地水文、水文学及水资源</w:t>
            </w:r>
            <w:r>
              <w:rPr>
                <w:rFonts w:hint="eastAsia" w:ascii="宋体" w:hAnsi="宋体" w:cs="宋体"/>
                <w:b/>
                <w:szCs w:val="21"/>
                <w:highlight w:val="none"/>
                <w:lang w:eastAsia="zh-CN"/>
              </w:rPr>
              <w:t>等</w:t>
            </w:r>
            <w:r>
              <w:rPr>
                <w:rFonts w:hint="eastAsia" w:ascii="宋体" w:hAnsi="宋体" w:cs="宋体"/>
                <w:b/>
                <w:szCs w:val="21"/>
                <w:highlight w:val="none"/>
              </w:rPr>
              <w:t>；地质类包括水文地质、工程地质、水利水电工程地质</w:t>
            </w:r>
            <w:r>
              <w:rPr>
                <w:rFonts w:hint="eastAsia" w:ascii="宋体" w:hAnsi="宋体" w:cs="宋体"/>
                <w:b/>
                <w:szCs w:val="21"/>
                <w:highlight w:val="none"/>
                <w:lang w:eastAsia="zh-CN"/>
              </w:rPr>
              <w:t>等</w:t>
            </w:r>
            <w:r>
              <w:rPr>
                <w:rFonts w:hint="eastAsia" w:ascii="宋体" w:hAnsi="宋体" w:cs="宋体"/>
                <w:b/>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0" w:leftChars="0" w:right="0" w:rightChars="0" w:firstLine="417" w:firstLineChars="198"/>
              <w:textAlignment w:val="auto"/>
              <w:outlineLvl w:val="9"/>
              <w:rPr>
                <w:rFonts w:hint="eastAsia" w:ascii="宋体" w:hAnsi="宋体" w:cs="宋体"/>
                <w:b/>
                <w:bCs/>
                <w:szCs w:val="21"/>
                <w:highlight w:val="none"/>
              </w:rPr>
            </w:pPr>
            <w:r>
              <w:rPr>
                <w:rFonts w:hint="eastAsia" w:ascii="宋体" w:hAnsi="宋体" w:cs="宋体"/>
                <w:b/>
                <w:bCs/>
                <w:szCs w:val="21"/>
                <w:highlight w:val="none"/>
              </w:rPr>
              <w:t>3.本招标文件中所要求的人员养老保险证明要求如下：</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0" w:leftChars="0" w:right="0" w:rightChars="0" w:firstLine="417" w:firstLineChars="198"/>
              <w:textAlignment w:val="auto"/>
              <w:outlineLvl w:val="9"/>
              <w:rPr>
                <w:rFonts w:hint="eastAsia" w:ascii="宋体" w:hAnsi="宋体" w:cs="宋体"/>
                <w:b/>
                <w:bCs/>
                <w:szCs w:val="21"/>
                <w:highlight w:val="none"/>
              </w:rPr>
            </w:pPr>
            <w:r>
              <w:rPr>
                <w:rFonts w:hint="eastAsia" w:ascii="宋体" w:hAnsi="宋体" w:cs="宋体"/>
                <w:b/>
                <w:bCs/>
                <w:szCs w:val="21"/>
                <w:highlight w:val="none"/>
              </w:rPr>
              <w:t>①社会单位提供养老保险证明，事业单位提供养老保险证明或行政主管部门在编证明。</w:t>
            </w:r>
          </w:p>
          <w:p>
            <w:pPr>
              <w:keepNext w:val="0"/>
              <w:keepLines w:val="0"/>
              <w:pageBreakBefore w:val="0"/>
              <w:widowControl w:val="0"/>
              <w:kinsoku/>
              <w:wordWrap/>
              <w:overflowPunct/>
              <w:topLinePunct w:val="0"/>
              <w:autoSpaceDE w:val="0"/>
              <w:autoSpaceDN w:val="0"/>
              <w:bidi w:val="0"/>
              <w:adjustRightInd w:val="0"/>
              <w:snapToGrid w:val="0"/>
              <w:spacing w:line="380" w:lineRule="exact"/>
              <w:ind w:left="0" w:leftChars="0" w:right="0" w:rightChars="0" w:firstLine="417" w:firstLineChars="198"/>
              <w:textAlignment w:val="auto"/>
              <w:outlineLvl w:val="9"/>
              <w:rPr>
                <w:rFonts w:hint="eastAsia" w:ascii="宋体" w:hAnsi="宋体" w:cs="宋体"/>
                <w:b/>
                <w:bCs/>
                <w:szCs w:val="21"/>
                <w:highlight w:val="none"/>
              </w:rPr>
            </w:pPr>
            <w:r>
              <w:rPr>
                <w:rFonts w:hint="eastAsia" w:ascii="宋体" w:hAnsi="宋体" w:cs="宋体"/>
                <w:b/>
                <w:bCs/>
                <w:szCs w:val="21"/>
                <w:highlight w:val="none"/>
              </w:rPr>
              <w:t>②所有拟派人员提供的养老保险证明期限为202</w:t>
            </w:r>
            <w:r>
              <w:rPr>
                <w:rFonts w:hint="eastAsia" w:ascii="宋体" w:hAnsi="宋体" w:cs="宋体"/>
                <w:b/>
                <w:bCs/>
                <w:szCs w:val="21"/>
                <w:highlight w:val="none"/>
                <w:lang w:val="en-US" w:eastAsia="zh-CN"/>
              </w:rPr>
              <w:t>2</w:t>
            </w:r>
            <w:r>
              <w:rPr>
                <w:rFonts w:hint="eastAsia" w:ascii="宋体" w:hAnsi="宋体" w:cs="宋体"/>
                <w:b/>
                <w:bCs/>
                <w:szCs w:val="21"/>
                <w:highlight w:val="none"/>
              </w:rPr>
              <w:t>年1月至2022年</w:t>
            </w:r>
            <w:r>
              <w:rPr>
                <w:rFonts w:hint="eastAsia" w:ascii="宋体" w:hAnsi="宋体" w:cs="宋体"/>
                <w:b/>
                <w:bCs/>
                <w:szCs w:val="21"/>
                <w:highlight w:val="none"/>
                <w:lang w:val="en-US" w:eastAsia="zh-CN"/>
              </w:rPr>
              <w:t>6</w:t>
            </w:r>
            <w:r>
              <w:rPr>
                <w:rFonts w:hint="eastAsia" w:ascii="宋体" w:hAnsi="宋体" w:cs="宋体"/>
                <w:b/>
                <w:bCs/>
                <w:szCs w:val="21"/>
                <w:highlight w:val="none"/>
              </w:rPr>
              <w:t>月的连续养老保险。</w:t>
            </w:r>
          </w:p>
          <w:p>
            <w:pPr>
              <w:pStyle w:val="19"/>
              <w:keepNext w:val="0"/>
              <w:keepLines w:val="0"/>
              <w:pageBreakBefore w:val="0"/>
              <w:widowControl w:val="0"/>
              <w:kinsoku/>
              <w:wordWrap/>
              <w:overflowPunct/>
              <w:topLinePunct w:val="0"/>
              <w:bidi w:val="0"/>
              <w:adjustRightInd w:val="0"/>
              <w:snapToGrid w:val="0"/>
              <w:spacing w:line="380" w:lineRule="exact"/>
              <w:ind w:left="0" w:leftChars="0" w:right="0" w:rightChars="0" w:firstLine="422" w:firstLineChars="200"/>
              <w:jc w:val="both"/>
              <w:textAlignment w:val="auto"/>
              <w:outlineLvl w:val="9"/>
              <w:rPr>
                <w:rFonts w:hint="eastAsia"/>
                <w:sz w:val="21"/>
                <w:szCs w:val="21"/>
                <w:highlight w:val="none"/>
                <w:lang w:val="en-US"/>
              </w:rPr>
            </w:pPr>
            <w:r>
              <w:rPr>
                <w:rFonts w:hint="eastAsia"/>
                <w:b/>
                <w:bCs/>
                <w:sz w:val="21"/>
                <w:szCs w:val="21"/>
                <w:highlight w:val="none"/>
              </w:rPr>
              <w:t>③如因疫情影响，按当地政策可减免企业在此期间缴纳人员社保的，请附社保缴纳管理部门出具的减免情况说明复印件（或政务或权威网站公开发布的减免公告的网络截图复印件）加盖投标人单位</w:t>
            </w:r>
            <w:r>
              <w:rPr>
                <w:rFonts w:hint="eastAsia"/>
                <w:b/>
                <w:bCs/>
                <w:sz w:val="21"/>
                <w:szCs w:val="21"/>
                <w:highlight w:val="none"/>
                <w:lang w:val="en-US"/>
              </w:rPr>
              <w:t>公章</w:t>
            </w:r>
            <w:r>
              <w:rPr>
                <w:rFonts w:hint="eastAsia"/>
                <w:b/>
                <w:bCs/>
                <w:sz w:val="21"/>
                <w:szCs w:val="21"/>
                <w:highlight w:val="none"/>
              </w:rPr>
              <w:t>鲜章。</w:t>
            </w:r>
          </w:p>
        </w:tc>
      </w:tr>
      <w:tr>
        <w:tblPrEx>
          <w:tblLayout w:type="fixed"/>
          <w:tblCellMar>
            <w:top w:w="0" w:type="dxa"/>
            <w:left w:w="0" w:type="dxa"/>
            <w:bottom w:w="0" w:type="dxa"/>
            <w:right w:w="0" w:type="dxa"/>
          </w:tblCellMar>
        </w:tblPrEx>
        <w:trPr>
          <w:trHeight w:val="37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7526" w:type="dxa"/>
            <w:gridSpan w:val="2"/>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spacing w:line="400" w:lineRule="exact"/>
              <w:ind w:firstLine="422" w:firstLineChars="200"/>
              <w:jc w:val="left"/>
              <w:rPr>
                <w:rFonts w:hint="eastAsia" w:ascii="宋体" w:hAnsi="宋体" w:cs="宋体"/>
                <w:kern w:val="0"/>
                <w:szCs w:val="21"/>
                <w:highlight w:val="none"/>
              </w:rPr>
            </w:pPr>
            <w:r>
              <w:rPr>
                <w:rFonts w:hint="eastAsia" w:ascii="宋体" w:hAnsi="宋体" w:cs="宋体"/>
                <w:b/>
                <w:bCs/>
                <w:szCs w:val="21"/>
                <w:highlight w:val="none"/>
              </w:rPr>
              <w:t>注：以上商务部分评审提供的复印件须加盖投标人单位公章鲜章。</w:t>
            </w:r>
          </w:p>
        </w:tc>
      </w:tr>
      <w:tr>
        <w:tblPrEx>
          <w:tblLayout w:type="fixed"/>
          <w:tblCellMar>
            <w:top w:w="0" w:type="dxa"/>
            <w:left w:w="0" w:type="dxa"/>
            <w:bottom w:w="0" w:type="dxa"/>
            <w:right w:w="0" w:type="dxa"/>
          </w:tblCellMar>
        </w:tblPrEx>
        <w:trPr>
          <w:jc w:val="center"/>
        </w:trPr>
        <w:tc>
          <w:tcPr>
            <w:tcW w:w="900" w:type="dxa"/>
            <w:vMerge w:val="restart"/>
            <w:tcBorders>
              <w:top w:val="single" w:color="000000" w:sz="4" w:space="0"/>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2.2.4</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技术部分 评分标准（15分）</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Cs/>
                <w:szCs w:val="21"/>
                <w:highlight w:val="none"/>
              </w:rPr>
            </w:pPr>
            <w:r>
              <w:rPr>
                <w:rFonts w:ascii="宋体" w:hAnsi="宋体" w:cs="宋体"/>
                <w:bCs/>
                <w:szCs w:val="21"/>
                <w:highlight w:val="none"/>
              </w:rPr>
              <w:t>对本项目的理解</w:t>
            </w:r>
          </w:p>
          <w:p>
            <w:pPr>
              <w:widowControl/>
              <w:spacing w:line="400" w:lineRule="exact"/>
              <w:jc w:val="center"/>
              <w:textAlignment w:val="center"/>
              <w:rPr>
                <w:rFonts w:hint="eastAsia" w:ascii="宋体" w:hAnsi="宋体" w:cs="宋体"/>
                <w:kern w:val="0"/>
                <w:szCs w:val="21"/>
                <w:highlight w:val="none"/>
              </w:rPr>
            </w:pPr>
            <w:r>
              <w:rPr>
                <w:rFonts w:hint="eastAsia" w:ascii="宋体" w:hAnsi="宋体" w:cs="宋体"/>
                <w:bCs/>
                <w:szCs w:val="21"/>
                <w:highlight w:val="none"/>
              </w:rPr>
              <w:t>（3分）</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对本项目符合国家及地方有关技术规范及标准规定，以及本次项目工作背景、目的和工作范围认识准确性、深入程度等。理解和认识全面深刻，符合重庆新机场</w:t>
            </w:r>
            <w:r>
              <w:rPr>
                <w:rFonts w:hint="eastAsia"/>
                <w:sz w:val="21"/>
                <w:szCs w:val="21"/>
                <w:highlight w:val="none"/>
                <w:lang w:val="en-US" w:eastAsia="zh-CN"/>
              </w:rPr>
              <w:t>近期和远期</w:t>
            </w:r>
            <w:r>
              <w:rPr>
                <w:rFonts w:hint="eastAsia"/>
                <w:sz w:val="21"/>
                <w:szCs w:val="21"/>
                <w:highlight w:val="none"/>
                <w:lang w:val="en-US"/>
              </w:rPr>
              <w:t>建设项目实际情况。</w:t>
            </w:r>
          </w:p>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未提供的得0分；一般的得0-1分；良好的得1-2分；优秀的得2-3分。</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highlight w:val="none"/>
              </w:rPr>
            </w:pPr>
            <w:r>
              <w:rPr>
                <w:rFonts w:hint="eastAsia"/>
                <w:highlight w:val="none"/>
              </w:rPr>
              <w:t>服</w:t>
            </w:r>
            <w:r>
              <w:rPr>
                <w:rFonts w:hint="eastAsia" w:ascii="宋体" w:hAnsi="宋体" w:cs="宋体"/>
                <w:highlight w:val="none"/>
              </w:rPr>
              <w:t>务方案</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highlight w:val="none"/>
              </w:rPr>
              <w:t>（4分）</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服务方案结构清晰、内容完整、表述准确、归纳凝练，工作程序、工作方法科学严谨，工作内容、工作深度切实可行，明确规范性条款、技术标准、方法、工作重点与技术难点等。总体思路满足工作要求，针对性强。</w:t>
            </w:r>
          </w:p>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未提供的得0分；一般的得0-1分；良好的得1-2分；优秀的得2-4分。</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质量控制</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（4分）</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为本项目制定的技术服务流程、工期进度计划、技术档案管理、人员组织及保障情况。</w:t>
            </w:r>
            <w:r>
              <w:rPr>
                <w:rFonts w:hint="eastAsia"/>
                <w:sz w:val="21"/>
                <w:szCs w:val="21"/>
                <w:highlight w:val="none"/>
                <w:lang w:val="zh-TW" w:eastAsia="zh-TW"/>
              </w:rPr>
              <w:t>人员配备合理，管理体系完善，设备能满足精度和时间要求，工作</w:t>
            </w:r>
            <w:r>
              <w:rPr>
                <w:rFonts w:hint="eastAsia"/>
                <w:sz w:val="21"/>
                <w:szCs w:val="21"/>
                <w:highlight w:val="none"/>
                <w:lang w:val="zh-TW"/>
              </w:rPr>
              <w:t>计划</w:t>
            </w:r>
            <w:r>
              <w:rPr>
                <w:rFonts w:hint="eastAsia"/>
                <w:sz w:val="21"/>
                <w:szCs w:val="21"/>
                <w:highlight w:val="none"/>
                <w:lang w:val="zh-TW" w:eastAsia="zh-TW"/>
              </w:rPr>
              <w:t>充分考虑修改</w:t>
            </w:r>
            <w:r>
              <w:rPr>
                <w:rFonts w:hint="eastAsia"/>
                <w:sz w:val="21"/>
                <w:szCs w:val="21"/>
                <w:highlight w:val="none"/>
                <w:lang w:val="zh-TW"/>
              </w:rPr>
              <w:t>空间</w:t>
            </w:r>
            <w:r>
              <w:rPr>
                <w:rFonts w:hint="eastAsia"/>
                <w:sz w:val="21"/>
                <w:szCs w:val="21"/>
                <w:highlight w:val="none"/>
                <w:lang w:val="zh-TW" w:eastAsia="zh-TW"/>
              </w:rPr>
              <w:t>，有可靠的</w:t>
            </w:r>
            <w:r>
              <w:rPr>
                <w:rFonts w:hint="eastAsia"/>
                <w:sz w:val="21"/>
                <w:szCs w:val="21"/>
                <w:highlight w:val="none"/>
                <w:lang w:val="zh-TW"/>
              </w:rPr>
              <w:t>进度保障和质量保障</w:t>
            </w:r>
            <w:r>
              <w:rPr>
                <w:rFonts w:hint="eastAsia"/>
                <w:sz w:val="21"/>
                <w:szCs w:val="21"/>
                <w:highlight w:val="none"/>
                <w:lang w:val="zh-TW" w:eastAsia="zh-TW"/>
              </w:rPr>
              <w:t>措施</w:t>
            </w:r>
            <w:r>
              <w:rPr>
                <w:rFonts w:hint="eastAsia"/>
                <w:sz w:val="21"/>
                <w:szCs w:val="21"/>
                <w:highlight w:val="none"/>
                <w:lang w:val="zh-TW"/>
              </w:rPr>
              <w:t>，确保在</w:t>
            </w:r>
            <w:r>
              <w:rPr>
                <w:rFonts w:hint="eastAsia"/>
                <w:sz w:val="21"/>
                <w:szCs w:val="21"/>
                <w:highlight w:val="none"/>
                <w:lang w:val="zh-TW" w:eastAsia="zh-TW"/>
              </w:rPr>
              <w:t>规定的时间内</w:t>
            </w:r>
            <w:r>
              <w:rPr>
                <w:rFonts w:hint="eastAsia"/>
                <w:sz w:val="21"/>
                <w:szCs w:val="21"/>
                <w:highlight w:val="none"/>
                <w:lang w:val="zh-TW"/>
              </w:rPr>
              <w:t>能够</w:t>
            </w:r>
            <w:r>
              <w:rPr>
                <w:rFonts w:hint="eastAsia"/>
                <w:sz w:val="21"/>
                <w:szCs w:val="21"/>
                <w:highlight w:val="none"/>
                <w:lang w:val="zh-TW" w:eastAsia="zh-TW"/>
              </w:rPr>
              <w:t>完成</w:t>
            </w:r>
            <w:r>
              <w:rPr>
                <w:rFonts w:hint="eastAsia"/>
                <w:sz w:val="21"/>
                <w:szCs w:val="21"/>
                <w:highlight w:val="none"/>
                <w:lang w:val="zh-TW"/>
              </w:rPr>
              <w:t>相应报告编制，并通过</w:t>
            </w:r>
            <w:r>
              <w:rPr>
                <w:rFonts w:hint="eastAsia"/>
                <w:sz w:val="21"/>
                <w:szCs w:val="21"/>
                <w:highlight w:val="none"/>
                <w:lang w:val="zh-TW" w:eastAsia="zh-CN"/>
              </w:rPr>
              <w:t>行业内专家评审</w:t>
            </w:r>
            <w:r>
              <w:rPr>
                <w:rFonts w:hint="eastAsia"/>
                <w:sz w:val="21"/>
                <w:szCs w:val="21"/>
                <w:highlight w:val="none"/>
                <w:lang w:val="zh-TW" w:eastAsia="zh-TW"/>
              </w:rPr>
              <w:t>。</w:t>
            </w:r>
          </w:p>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未提供的得0分；一般的得0-1分；良好的得1-2分；优秀的得2-4分。</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后续服务</w:t>
            </w:r>
          </w:p>
          <w:p>
            <w:pPr>
              <w:autoSpaceDE w:val="0"/>
              <w:autoSpaceDN w:val="0"/>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（4分）</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对比各投标人与招标人、报告审批部门沟通的便捷程度，后续支持服务范围、服务承诺、服务措施等情况综合评价等。</w:t>
            </w:r>
          </w:p>
          <w:p>
            <w:pPr>
              <w:pStyle w:val="19"/>
              <w:adjustRightInd w:val="0"/>
              <w:snapToGrid w:val="0"/>
              <w:spacing w:line="400" w:lineRule="exact"/>
              <w:ind w:firstLine="420" w:firstLineChars="200"/>
              <w:jc w:val="both"/>
              <w:rPr>
                <w:rFonts w:hint="eastAsia"/>
                <w:sz w:val="21"/>
                <w:szCs w:val="21"/>
                <w:highlight w:val="none"/>
                <w:lang w:val="en-US"/>
              </w:rPr>
            </w:pPr>
            <w:r>
              <w:rPr>
                <w:rFonts w:hint="eastAsia"/>
                <w:sz w:val="21"/>
                <w:szCs w:val="21"/>
                <w:highlight w:val="none"/>
                <w:lang w:val="en-US"/>
              </w:rPr>
              <w:t>未提供的得0分；一般的得0-1分；良好的得1-2分；优秀的得2-4分。</w:t>
            </w:r>
          </w:p>
        </w:tc>
      </w:tr>
      <w:tr>
        <w:tblPrEx>
          <w:tblLayout w:type="fixed"/>
          <w:tblCellMar>
            <w:top w:w="0" w:type="dxa"/>
            <w:left w:w="0" w:type="dxa"/>
            <w:bottom w:w="0" w:type="dxa"/>
            <w:right w:w="0" w:type="dxa"/>
          </w:tblCellMar>
        </w:tblPrEx>
        <w:trPr>
          <w:jc w:val="center"/>
        </w:trPr>
        <w:tc>
          <w:tcPr>
            <w:tcW w:w="90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before="156" w:beforeLines="50" w:after="156" w:afterLines="50" w:line="360" w:lineRule="auto"/>
              <w:ind w:left="105" w:leftChars="50" w:right="105" w:rightChars="50"/>
              <w:jc w:val="center"/>
              <w:rPr>
                <w:rFonts w:hint="eastAsia" w:ascii="宋体" w:hAnsi="宋体" w:cs="宋体"/>
                <w:kern w:val="0"/>
                <w:sz w:val="24"/>
                <w:szCs w:val="24"/>
                <w:highlight w:val="none"/>
              </w:rPr>
            </w:pPr>
          </w:p>
        </w:tc>
        <w:tc>
          <w:tcPr>
            <w:tcW w:w="864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2" w:firstLineChars="200"/>
              <w:jc w:val="left"/>
              <w:rPr>
                <w:rFonts w:hint="eastAsia" w:ascii="宋体" w:hAnsi="宋体" w:cs="宋体"/>
                <w:kern w:val="0"/>
                <w:szCs w:val="21"/>
                <w:highlight w:val="none"/>
              </w:rPr>
            </w:pPr>
            <w:r>
              <w:rPr>
                <w:rFonts w:hint="eastAsia" w:ascii="宋体" w:hAnsi="宋体" w:cs="宋体"/>
                <w:b/>
                <w:bCs/>
                <w:szCs w:val="21"/>
                <w:highlight w:val="none"/>
              </w:rPr>
              <w:t>注：投标人技术部分得分取所有评委打分的算术平均值。以上计算取小数点后两位，第三位四舍五入；当有评委打分高于所有评委打分算术平均值×（1+30%）或低于所有评委打分算术平均值×（1-30%）时，则所有投标人的技术部分得分均去掉一个最高分和一个最低分，取余下评委打分的算术平均值为该投标人技术部分得分。以上计算取小数点后两位，第三位四舍五入。</w:t>
            </w:r>
          </w:p>
        </w:tc>
      </w:tr>
      <w:tr>
        <w:tblPrEx>
          <w:tblLayout w:type="fixed"/>
          <w:tblCellMar>
            <w:top w:w="0" w:type="dxa"/>
            <w:left w:w="0" w:type="dxa"/>
            <w:bottom w:w="0" w:type="dxa"/>
            <w:right w:w="0" w:type="dxa"/>
          </w:tblCellMar>
        </w:tblPrEx>
        <w:trP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spacing w:line="400" w:lineRule="exact"/>
              <w:jc w:val="center"/>
              <w:rPr>
                <w:rFonts w:hint="eastAsia" w:ascii="宋体" w:hAnsi="宋体" w:cs="宋体"/>
                <w:highlight w:val="none"/>
              </w:rPr>
            </w:pPr>
            <w:r>
              <w:rPr>
                <w:rFonts w:hint="eastAsia" w:ascii="宋体" w:hAnsi="宋体" w:cs="宋体"/>
                <w:highlight w:val="none"/>
              </w:rPr>
              <w:t>2.2.4</w:t>
            </w:r>
          </w:p>
          <w:p>
            <w:pPr>
              <w:pStyle w:val="22"/>
              <w:adjustRightInd w:val="0"/>
              <w:snapToGrid w:val="0"/>
              <w:spacing w:line="400" w:lineRule="exact"/>
              <w:jc w:val="center"/>
              <w:rPr>
                <w:rFonts w:hint="eastAsia" w:ascii="宋体" w:hAnsi="宋体" w:cs="宋体"/>
                <w:highlight w:val="none"/>
              </w:rPr>
            </w:pPr>
            <w:r>
              <w:rPr>
                <w:rFonts w:hint="eastAsia" w:ascii="宋体" w:hAnsi="宋体" w:cs="宋体"/>
                <w:highlight w:val="none"/>
              </w:rPr>
              <w:t>（3）</w:t>
            </w:r>
          </w:p>
        </w:tc>
        <w:tc>
          <w:tcPr>
            <w:tcW w:w="1123"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spacing w:line="400" w:lineRule="exact"/>
              <w:jc w:val="center"/>
              <w:rPr>
                <w:rFonts w:hint="eastAsia" w:ascii="宋体" w:hAnsi="宋体" w:cs="宋体"/>
                <w:highlight w:val="none"/>
              </w:rPr>
            </w:pPr>
            <w:r>
              <w:rPr>
                <w:rFonts w:hint="eastAsia" w:ascii="宋体" w:hAnsi="宋体" w:cs="宋体"/>
                <w:highlight w:val="none"/>
              </w:rPr>
              <w:t>投标报价</w:t>
            </w:r>
          </w:p>
          <w:p>
            <w:pPr>
              <w:pStyle w:val="22"/>
              <w:adjustRightInd w:val="0"/>
              <w:snapToGrid w:val="0"/>
              <w:spacing w:line="400" w:lineRule="exact"/>
              <w:jc w:val="center"/>
              <w:rPr>
                <w:rFonts w:hint="eastAsia" w:ascii="宋体" w:hAnsi="宋体" w:cs="宋体"/>
                <w:highlight w:val="none"/>
              </w:rPr>
            </w:pPr>
            <w:r>
              <w:rPr>
                <w:rFonts w:hint="eastAsia" w:ascii="宋体" w:hAnsi="宋体" w:cs="宋体"/>
                <w:highlight w:val="none"/>
              </w:rPr>
              <w:t>评分标准</w:t>
            </w:r>
          </w:p>
          <w:p>
            <w:pPr>
              <w:pStyle w:val="22"/>
              <w:adjustRightInd w:val="0"/>
              <w:snapToGrid w:val="0"/>
              <w:spacing w:line="400" w:lineRule="exact"/>
              <w:jc w:val="center"/>
              <w:rPr>
                <w:rFonts w:hint="eastAsia" w:ascii="宋体" w:hAnsi="宋体" w:cs="宋体"/>
                <w:b/>
                <w:highlight w:val="none"/>
              </w:rPr>
            </w:pPr>
            <w:r>
              <w:rPr>
                <w:rFonts w:hint="eastAsia" w:ascii="宋体" w:hAnsi="宋体" w:cs="宋体"/>
                <w:highlight w:val="none"/>
              </w:rPr>
              <w:t>（60分）</w:t>
            </w:r>
          </w:p>
          <w:p>
            <w:pPr>
              <w:pStyle w:val="22"/>
              <w:adjustRightInd w:val="0"/>
              <w:snapToGrid w:val="0"/>
              <w:spacing w:line="400" w:lineRule="exact"/>
              <w:jc w:val="center"/>
              <w:rPr>
                <w:rFonts w:hint="eastAsia" w:ascii="宋体" w:hAnsi="宋体" w:cs="宋体"/>
                <w:highlight w:val="none"/>
              </w:rPr>
            </w:pPr>
          </w:p>
        </w:tc>
        <w:tc>
          <w:tcPr>
            <w:tcW w:w="179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hanging="6"/>
              <w:jc w:val="center"/>
              <w:rPr>
                <w:rFonts w:hint="eastAsia" w:ascii="宋体" w:hAnsi="宋体" w:cs="宋体"/>
                <w:kern w:val="0"/>
                <w:szCs w:val="21"/>
                <w:highlight w:val="none"/>
              </w:rPr>
            </w:pPr>
            <w:r>
              <w:rPr>
                <w:rFonts w:hint="eastAsia" w:ascii="宋体" w:hAnsi="宋体" w:cs="宋体"/>
                <w:kern w:val="0"/>
                <w:szCs w:val="21"/>
                <w:highlight w:val="none"/>
              </w:rPr>
              <w:t>投标总报价</w:t>
            </w:r>
          </w:p>
          <w:p>
            <w:pPr>
              <w:autoSpaceDE w:val="0"/>
              <w:autoSpaceDN w:val="0"/>
              <w:adjustRightInd w:val="0"/>
              <w:snapToGrid w:val="0"/>
              <w:spacing w:line="400" w:lineRule="exact"/>
              <w:ind w:hanging="6"/>
              <w:jc w:val="center"/>
              <w:rPr>
                <w:rFonts w:hint="eastAsia" w:ascii="宋体" w:hAnsi="宋体" w:cs="宋体"/>
                <w:kern w:val="0"/>
                <w:szCs w:val="21"/>
                <w:highlight w:val="none"/>
              </w:rPr>
            </w:pPr>
            <w:r>
              <w:rPr>
                <w:rFonts w:hint="eastAsia" w:ascii="宋体" w:hAnsi="宋体" w:cs="宋体"/>
                <w:kern w:val="0"/>
                <w:szCs w:val="21"/>
                <w:highlight w:val="none"/>
              </w:rPr>
              <w:t>（60分）</w:t>
            </w:r>
          </w:p>
        </w:tc>
        <w:tc>
          <w:tcPr>
            <w:tcW w:w="5730" w:type="dxa"/>
            <w:tcBorders>
              <w:top w:val="single" w:color="000000" w:sz="4" w:space="0"/>
              <w:left w:val="single" w:color="000000" w:sz="4" w:space="0"/>
              <w:bottom w:val="single" w:color="000000" w:sz="4" w:space="0"/>
              <w:right w:val="single" w:color="000000" w:sz="4" w:space="0"/>
            </w:tcBorders>
            <w:vAlign w:val="top"/>
          </w:tcPr>
          <w:p>
            <w:pPr>
              <w:tabs>
                <w:tab w:val="left" w:pos="1620"/>
              </w:tabs>
              <w:adjustRightInd w:val="0"/>
              <w:snapToGrid w:val="0"/>
              <w:spacing w:line="400" w:lineRule="exact"/>
              <w:ind w:firstLine="491" w:firstLineChars="234"/>
              <w:rPr>
                <w:rFonts w:hint="eastAsia" w:ascii="宋体" w:hAnsi="宋体" w:eastAsia="宋体" w:cs="宋体"/>
                <w:sz w:val="21"/>
                <w:szCs w:val="21"/>
              </w:rPr>
            </w:pPr>
            <w:r>
              <w:rPr>
                <w:rFonts w:hint="eastAsia" w:ascii="宋体" w:hAnsi="宋体" w:eastAsia="宋体" w:cs="宋体"/>
                <w:sz w:val="21"/>
                <w:szCs w:val="21"/>
              </w:rPr>
              <w:t>所有通过初步评审的投标人的投标总报价与评标基准价相比，相等的得</w:t>
            </w:r>
            <w:r>
              <w:rPr>
                <w:rFonts w:hint="eastAsia" w:ascii="宋体" w:hAnsi="宋体" w:cs="宋体"/>
                <w:sz w:val="21"/>
                <w:szCs w:val="21"/>
                <w:lang w:val="en-US" w:eastAsia="zh-CN"/>
              </w:rPr>
              <w:t>6</w:t>
            </w:r>
            <w:r>
              <w:rPr>
                <w:rFonts w:hint="eastAsia" w:ascii="宋体" w:hAnsi="宋体" w:eastAsia="宋体" w:cs="宋体"/>
                <w:sz w:val="21"/>
                <w:szCs w:val="21"/>
              </w:rPr>
              <w:t>0分；在此基础上，</w:t>
            </w:r>
            <w:r>
              <w:rPr>
                <w:rFonts w:hint="eastAsia" w:ascii="宋体" w:hAnsi="宋体" w:cs="宋体"/>
                <w:sz w:val="21"/>
                <w:szCs w:val="21"/>
                <w:lang w:val="en-US" w:eastAsia="zh-CN"/>
              </w:rPr>
              <w:t>投标总报价</w:t>
            </w:r>
            <w:r>
              <w:rPr>
                <w:rFonts w:hint="eastAsia" w:ascii="宋体" w:hAnsi="宋体" w:eastAsia="宋体" w:cs="宋体"/>
                <w:sz w:val="21"/>
                <w:szCs w:val="21"/>
              </w:rPr>
              <w:t>每增加1%扣1分，</w:t>
            </w:r>
            <w:r>
              <w:rPr>
                <w:rFonts w:hint="eastAsia" w:ascii="宋体" w:hAnsi="宋体" w:cs="宋体"/>
                <w:sz w:val="21"/>
                <w:szCs w:val="21"/>
                <w:lang w:val="en-US" w:eastAsia="zh-CN"/>
              </w:rPr>
              <w:t>投标总报价</w:t>
            </w:r>
            <w:r>
              <w:rPr>
                <w:rFonts w:hint="eastAsia" w:ascii="宋体" w:hAnsi="宋体" w:eastAsia="宋体" w:cs="宋体"/>
                <w:sz w:val="21"/>
                <w:szCs w:val="21"/>
              </w:rPr>
              <w:t>每减少1%扣0.5分，</w:t>
            </w:r>
            <w:r>
              <w:rPr>
                <w:rFonts w:hint="eastAsia" w:ascii="宋体" w:hAnsi="宋体"/>
                <w:szCs w:val="21"/>
                <w:highlight w:val="none"/>
                <w:lang w:eastAsia="zh-CN"/>
              </w:rPr>
              <w:t>最多扣</w:t>
            </w:r>
            <w:r>
              <w:rPr>
                <w:rFonts w:hint="eastAsia" w:ascii="宋体" w:hAnsi="宋体"/>
                <w:szCs w:val="21"/>
                <w:highlight w:val="none"/>
                <w:lang w:val="en-US" w:eastAsia="zh-CN"/>
              </w:rPr>
              <w:t>5分</w:t>
            </w:r>
            <w:r>
              <w:rPr>
                <w:rFonts w:hint="eastAsia" w:ascii="宋体" w:hAnsi="宋体" w:eastAsia="宋体" w:cs="宋体"/>
                <w:sz w:val="21"/>
                <w:szCs w:val="21"/>
              </w:rPr>
              <w:t>。</w:t>
            </w:r>
          </w:p>
          <w:p>
            <w:pPr>
              <w:autoSpaceDE w:val="0"/>
              <w:autoSpaceDN w:val="0"/>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eastAsia="宋体" w:cs="宋体"/>
                <w:sz w:val="21"/>
                <w:szCs w:val="21"/>
              </w:rPr>
              <w:t>按插入法计算得分，以上计算结果取小数点后两位，第三位四舍五入。</w:t>
            </w:r>
          </w:p>
        </w:tc>
      </w:tr>
      <w:tr>
        <w:tblPrEx>
          <w:tblLayout w:type="fixed"/>
          <w:tblCellMar>
            <w:top w:w="0" w:type="dxa"/>
            <w:left w:w="0" w:type="dxa"/>
            <w:bottom w:w="0" w:type="dxa"/>
            <w:right w:w="0" w:type="dxa"/>
          </w:tblCellMar>
        </w:tblPrEx>
        <w:trPr>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spacing w:line="400" w:lineRule="exact"/>
              <w:jc w:val="center"/>
              <w:rPr>
                <w:rFonts w:hint="eastAsia" w:ascii="宋体" w:hAnsi="宋体" w:cs="宋体"/>
                <w:highlight w:val="none"/>
              </w:rPr>
            </w:pPr>
            <w:r>
              <w:rPr>
                <w:rFonts w:hint="eastAsia" w:ascii="宋体" w:hAnsi="宋体" w:cs="宋体"/>
                <w:bCs/>
                <w:highlight w:val="none"/>
              </w:rPr>
              <w:t>3.评标程序</w:t>
            </w:r>
          </w:p>
        </w:tc>
        <w:tc>
          <w:tcPr>
            <w:tcW w:w="752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1.按照评标办法前附表2.1.1至2.1.3的规定对所有投标文件进行初步评审，只有通过初步评审的投标文件才能进行后续评审。</w:t>
            </w:r>
          </w:p>
          <w:p>
            <w:pPr>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2.对初步评审合格的投标人按照本附表第2.2.4（1）目规定的评分方法对商务部分进行评分。</w:t>
            </w:r>
          </w:p>
          <w:p>
            <w:pPr>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3.对初步评审合格的投标人按照本附表第2.2.4（2）目规定的评分方法对技术部分进行评分。</w:t>
            </w:r>
          </w:p>
          <w:p>
            <w:pPr>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4.对初步评审合格的投标人按照本章第2.2.2项计算方法计算评标基准价，并按本附表第2.2.4（3）目规定的评分方法对投标总报价进行评分。</w:t>
            </w:r>
          </w:p>
          <w:p>
            <w:pPr>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5.对技术部分、商务部分、投标总报价得分进行汇总，确定得分由高至低前三名投标人为中标候选人。</w:t>
            </w:r>
          </w:p>
          <w:p>
            <w:pPr>
              <w:adjustRightInd w:val="0"/>
              <w:snapToGrid w:val="0"/>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tc>
      </w:tr>
      <w:tr>
        <w:tblPrEx>
          <w:tblLayout w:type="fixed"/>
          <w:tblCellMar>
            <w:top w:w="0" w:type="dxa"/>
            <w:left w:w="0" w:type="dxa"/>
            <w:bottom w:w="0" w:type="dxa"/>
            <w:right w:w="0" w:type="dxa"/>
          </w:tblCellMar>
        </w:tblPrEx>
        <w:trP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18" w:firstLineChars="9"/>
              <w:jc w:val="center"/>
              <w:rPr>
                <w:rFonts w:hint="eastAsia" w:ascii="宋体" w:hAnsi="宋体" w:cs="宋体"/>
                <w:szCs w:val="21"/>
                <w:highlight w:val="none"/>
              </w:rPr>
            </w:pPr>
            <w:r>
              <w:rPr>
                <w:rFonts w:ascii="宋体" w:hAnsi="宋体"/>
                <w:szCs w:val="21"/>
                <w:highlight w:val="none"/>
              </w:rPr>
              <w:t>3.2.3</w:t>
            </w:r>
          </w:p>
        </w:tc>
        <w:tc>
          <w:tcPr>
            <w:tcW w:w="1123"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18" w:firstLineChars="9"/>
              <w:jc w:val="center"/>
              <w:rPr>
                <w:rFonts w:hint="eastAsia" w:ascii="宋体" w:hAnsi="宋体" w:cs="宋体"/>
                <w:szCs w:val="21"/>
                <w:highlight w:val="none"/>
              </w:rPr>
            </w:pPr>
            <w:r>
              <w:rPr>
                <w:rFonts w:ascii="宋体" w:hAnsi="宋体"/>
                <w:szCs w:val="21"/>
                <w:highlight w:val="none"/>
              </w:rPr>
              <w:t>投标人得分</w:t>
            </w:r>
          </w:p>
        </w:tc>
        <w:tc>
          <w:tcPr>
            <w:tcW w:w="752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00" w:lineRule="exact"/>
              <w:ind w:firstLine="420" w:firstLineChars="200"/>
              <w:jc w:val="left"/>
              <w:rPr>
                <w:rFonts w:hint="eastAsia" w:ascii="宋体" w:hAnsi="宋体" w:cs="宋体"/>
                <w:kern w:val="0"/>
                <w:szCs w:val="21"/>
                <w:highlight w:val="none"/>
              </w:rPr>
            </w:pPr>
            <w:r>
              <w:rPr>
                <w:rFonts w:ascii="宋体" w:hAnsi="宋体"/>
                <w:szCs w:val="21"/>
                <w:highlight w:val="none"/>
                <w:u w:val="single"/>
              </w:rPr>
              <w:t>投标人得分=A+B</w:t>
            </w:r>
            <w:r>
              <w:rPr>
                <w:rFonts w:hint="eastAsia" w:ascii="宋体" w:hAnsi="宋体"/>
                <w:szCs w:val="21"/>
                <w:highlight w:val="none"/>
                <w:u w:val="single"/>
              </w:rPr>
              <w:t>+C</w:t>
            </w:r>
          </w:p>
        </w:tc>
      </w:tr>
    </w:tbl>
    <w:p>
      <w:pPr>
        <w:pStyle w:val="18"/>
        <w:snapToGrid w:val="0"/>
        <w:spacing w:before="0" w:beforeLines="0" w:after="0" w:afterLines="0"/>
        <w:rPr>
          <w:rFonts w:hint="eastAsia" w:ascii="宋体" w:hAnsi="宋体" w:cs="宋体"/>
          <w:snapToGrid w:val="0"/>
          <w:kern w:val="0"/>
          <w:sz w:val="21"/>
          <w:szCs w:val="21"/>
          <w:highlight w:val="none"/>
        </w:rPr>
      </w:pPr>
      <w:r>
        <w:rPr>
          <w:rFonts w:hint="eastAsia"/>
          <w:highlight w:val="none"/>
        </w:rPr>
        <w:br w:type="page"/>
      </w:r>
      <w:bookmarkStart w:id="125" w:name="_Toc32200"/>
      <w:bookmarkStart w:id="126" w:name="_Toc26023"/>
      <w:bookmarkStart w:id="127" w:name="_Toc10321"/>
      <w:bookmarkStart w:id="128" w:name="_Toc24696"/>
      <w:bookmarkStart w:id="129" w:name="_Toc24956"/>
      <w:bookmarkStart w:id="130" w:name="_Toc15304"/>
      <w:r>
        <w:rPr>
          <w:rFonts w:hint="eastAsia" w:ascii="宋体" w:hAnsi="宋体" w:cs="宋体"/>
          <w:snapToGrid w:val="0"/>
          <w:kern w:val="0"/>
          <w:sz w:val="21"/>
          <w:szCs w:val="21"/>
          <w:highlight w:val="none"/>
        </w:rPr>
        <w:t>1. 评标方法</w:t>
      </w:r>
      <w:bookmarkEnd w:id="125"/>
      <w:bookmarkEnd w:id="126"/>
      <w:bookmarkEnd w:id="127"/>
      <w:bookmarkEnd w:id="128"/>
      <w:bookmarkEnd w:id="129"/>
      <w:bookmarkEnd w:id="130"/>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部分得分高的优先；如果技术部分得分也相等，按评标办法前附表要求确定。</w:t>
      </w:r>
    </w:p>
    <w:p>
      <w:pPr>
        <w:pStyle w:val="18"/>
        <w:snapToGrid w:val="0"/>
        <w:spacing w:before="0" w:beforeLines="0" w:after="0" w:afterLines="0"/>
        <w:rPr>
          <w:rFonts w:hint="eastAsia" w:ascii="宋体" w:hAnsi="宋体" w:cs="宋体"/>
          <w:snapToGrid w:val="0"/>
          <w:kern w:val="0"/>
          <w:sz w:val="21"/>
          <w:szCs w:val="21"/>
          <w:highlight w:val="none"/>
        </w:rPr>
      </w:pPr>
      <w:bookmarkStart w:id="131" w:name="_Toc23993"/>
      <w:bookmarkStart w:id="132" w:name="_Toc32520"/>
      <w:bookmarkStart w:id="133" w:name="_Toc8780"/>
      <w:bookmarkStart w:id="134" w:name="_Toc4531"/>
      <w:bookmarkStart w:id="135" w:name="_Toc15986"/>
      <w:bookmarkStart w:id="136" w:name="_Toc31100"/>
      <w:r>
        <w:rPr>
          <w:rFonts w:hint="eastAsia" w:ascii="宋体" w:hAnsi="宋体" w:cs="宋体"/>
          <w:snapToGrid w:val="0"/>
          <w:kern w:val="0"/>
          <w:sz w:val="21"/>
          <w:szCs w:val="21"/>
          <w:highlight w:val="none"/>
        </w:rPr>
        <w:t>2. 评审标准</w:t>
      </w:r>
      <w:bookmarkEnd w:id="131"/>
      <w:bookmarkEnd w:id="132"/>
      <w:bookmarkEnd w:id="133"/>
      <w:bookmarkEnd w:id="134"/>
      <w:bookmarkEnd w:id="135"/>
      <w:bookmarkEnd w:id="136"/>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2.1 初步评审标准</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2.1.1 形式评审标准：见评标办法前附表。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2.1.2 资格评审标准：见评标办法前附表。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2.1.3 响应性评审标准：见评标办法前附表。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2.2 分值构成与评分标准</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2.2.1 分值构成</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（1）商务部分：见评标办法前附表；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（2）技术部分：见评标办法前附表；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（3）投标报价：见评标办法前附表；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2.2.2 评标基准价计算方法：见评标办法前附表。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2.2.3 投标报价的偏差率计算公式：见评标办法前附表。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2.2.4 评分标准</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（1）商务部分评分标准：见评标办法前附表；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（2）技术部分评分标准：见评标办法前附表；</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（3）投标报价评分标准：见评标办法前附表；</w:t>
      </w:r>
    </w:p>
    <w:p>
      <w:pPr>
        <w:pStyle w:val="18"/>
        <w:snapToGrid w:val="0"/>
        <w:spacing w:before="0" w:beforeLines="0" w:after="0" w:afterLines="0"/>
        <w:rPr>
          <w:rFonts w:hint="eastAsia" w:ascii="宋体" w:hAnsi="宋体" w:cs="宋体"/>
          <w:snapToGrid w:val="0"/>
          <w:kern w:val="0"/>
          <w:sz w:val="21"/>
          <w:szCs w:val="21"/>
          <w:highlight w:val="none"/>
        </w:rPr>
      </w:pPr>
      <w:bookmarkStart w:id="137" w:name="_Toc2401"/>
      <w:bookmarkStart w:id="138" w:name="_Toc32610"/>
      <w:bookmarkStart w:id="139" w:name="_Toc31841"/>
      <w:bookmarkStart w:id="140" w:name="_Toc17045"/>
      <w:bookmarkStart w:id="141" w:name="_Toc25434"/>
      <w:bookmarkStart w:id="142" w:name="_Toc23658"/>
      <w:r>
        <w:rPr>
          <w:rFonts w:hint="eastAsia" w:ascii="宋体" w:hAnsi="宋体" w:cs="宋体"/>
          <w:snapToGrid w:val="0"/>
          <w:kern w:val="0"/>
          <w:sz w:val="21"/>
          <w:szCs w:val="21"/>
          <w:highlight w:val="none"/>
        </w:rPr>
        <w:t>3. 评标程序</w:t>
      </w:r>
      <w:bookmarkEnd w:id="137"/>
      <w:bookmarkEnd w:id="138"/>
      <w:bookmarkEnd w:id="139"/>
      <w:bookmarkEnd w:id="140"/>
      <w:bookmarkEnd w:id="141"/>
      <w:bookmarkEnd w:id="142"/>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3.1 初步评审</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3.1.1 评标委员会依据本章第2.1款规定的标准对投标文件进行初步评审。有一项不符合评审标准的，评标委员会应当否决其投标。</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3.1.2 投标人有以下情形之一的，评标委员会应当否决其投标：</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（1）投标文件没有对招标文件的实质性要求和条件作出响应，或者对招标文件的偏差超出招标文件规定的偏差范围或最高项数；</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（2）有串通投标、弄虚作假、行贿等违法行为。</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3.1.3 投标报价有算术错误及其他错误的，评标委员会按以下原则要求投标人对投标报价进行修正，并要求投标人书面澄清确认。投标人拒不澄清确认的，评标委员会应当否决其投标：</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（1）投标文件中的大写金额与小写金额不一致的，以大写金额为准；</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（2）总价金额与依据单价计算出的结果不一致的，以单价金额为准修正总价，但单价金额小数点有明显错误的除外；</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（3）投标费率与投标总价之间不一致时，应以投标费率为准，并修正投标总价。</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3.2 详细评审</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3.2.1 评标委员会按本章第2.2款规定的量化因素和分值进行打分，并计算出综合评估得分。</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（1）按本章第2.2.4（1）目规定的评审因素和分值对商务部分计算出得分A；</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（2）按本章第2.2.4（2）目规定的评审因素和分值对技术部分计算出得分B；</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（3）按本章第2.2.4（3）目规定的评审因素和分值对投标报价计算出得分C；</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3.2.2 评分分值计算保留小数点后两位，小数点后第三位“四舍五入”。</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3.2.3 投标人得分=A+B+C。</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3.3 投标文件的澄清</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3.3.1 在评标过程中，评标委员会可以书面形式要求投标人对投标文件中含义不明确、对同</w:t>
      </w:r>
      <w:r>
        <w:rPr>
          <w:rFonts w:hint="eastAsia" w:ascii="宋体" w:hAnsi="宋体" w:cs="宋体"/>
          <w:snapToGrid w:val="0"/>
          <w:kern w:val="0"/>
          <w:position w:val="-1"/>
          <w:szCs w:val="21"/>
          <w:highlight w:val="none"/>
        </w:rPr>
        <w:t>类问题表述不一致或者有明显文字和计算错误的内容作必要的澄清、说明或补正。澄清、说明</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或补正应以书面方式进行。评标委员会不接受投标人主动提出的澄清、说明或补正。</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3.3.2 澄清、说明或补正不得超出投标文件的范围且不得改变投标文件的实质性内容，并构成投标文件的组成部分。</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3.3.3 评标委员会对投标人提交的澄清、说明或补正有疑问的，可以要求投标人进一步澄清、说明或补正，直至满足评标委员会的要求。</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3.4 评标结果</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3.4.1 除第二章“投标人须知”前附表授权直接确定中标人外，评标委员会按照得分由高到低的顺序推荐中标候选人，并标明排序。</w:t>
      </w:r>
    </w:p>
    <w:p>
      <w:pPr>
        <w:autoSpaceDE w:val="0"/>
        <w:autoSpaceDN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3.4.2 评标委员会完成评标后，应当向招标人提交书面评标报告和中标候选人名单。</w:t>
      </w:r>
    </w:p>
    <w:p>
      <w:pPr>
        <w:widowControl/>
        <w:adjustRightInd w:val="0"/>
        <w:snapToGrid w:val="0"/>
        <w:spacing w:line="360" w:lineRule="auto"/>
        <w:jc w:val="center"/>
        <w:rPr>
          <w:rFonts w:hint="eastAsia" w:ascii="宋体" w:hAnsi="宋体" w:cs="宋体"/>
          <w:sz w:val="32"/>
          <w:szCs w:val="32"/>
          <w:highlight w:val="none"/>
        </w:rPr>
      </w:pPr>
      <w:r>
        <w:rPr>
          <w:rFonts w:hint="eastAsia" w:ascii="宋体" w:hAnsi="宋体" w:cs="宋体"/>
          <w:kern w:val="0"/>
          <w:szCs w:val="21"/>
          <w:highlight w:val="none"/>
        </w:rPr>
        <w:br w:type="page"/>
      </w:r>
      <w:r>
        <w:rPr>
          <w:rFonts w:hint="eastAsia" w:ascii="宋体" w:hAnsi="宋体" w:cs="宋体"/>
          <w:sz w:val="32"/>
          <w:szCs w:val="32"/>
          <w:highlight w:val="none"/>
        </w:rPr>
        <w:t>附件A：综合评估法否决投标情况一览表</w:t>
      </w:r>
    </w:p>
    <w:tbl>
      <w:tblPr>
        <w:tblStyle w:val="15"/>
        <w:tblW w:w="95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665"/>
        <w:gridCol w:w="6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jc w:val="center"/>
        </w:trPr>
        <w:tc>
          <w:tcPr>
            <w:tcW w:w="1485" w:type="dxa"/>
            <w:vAlign w:val="center"/>
          </w:tcPr>
          <w:p>
            <w:pPr>
              <w:adjustRightInd w:val="0"/>
              <w:snapToGrid w:val="0"/>
              <w:spacing w:line="400" w:lineRule="exact"/>
              <w:jc w:val="center"/>
              <w:rPr>
                <w:rFonts w:hint="eastAsia" w:ascii="宋体" w:hAnsi="宋体" w:cs="宋体"/>
                <w:b/>
                <w:highlight w:val="none"/>
              </w:rPr>
            </w:pPr>
            <w:r>
              <w:rPr>
                <w:rFonts w:hint="eastAsia" w:ascii="宋体" w:hAnsi="宋体" w:cs="宋体"/>
                <w:b/>
                <w:highlight w:val="none"/>
              </w:rPr>
              <w:t>招标文件</w:t>
            </w:r>
          </w:p>
          <w:p>
            <w:pPr>
              <w:adjustRightInd w:val="0"/>
              <w:snapToGrid w:val="0"/>
              <w:spacing w:line="400" w:lineRule="exact"/>
              <w:jc w:val="center"/>
              <w:rPr>
                <w:rFonts w:hint="eastAsia" w:ascii="宋体" w:hAnsi="宋体" w:cs="宋体"/>
                <w:b/>
                <w:highlight w:val="none"/>
              </w:rPr>
            </w:pPr>
            <w:r>
              <w:rPr>
                <w:rFonts w:hint="eastAsia" w:ascii="宋体" w:hAnsi="宋体" w:cs="宋体"/>
                <w:b/>
                <w:highlight w:val="none"/>
              </w:rPr>
              <w:t>章节号</w:t>
            </w:r>
          </w:p>
        </w:tc>
        <w:tc>
          <w:tcPr>
            <w:tcW w:w="1665" w:type="dxa"/>
            <w:vAlign w:val="center"/>
          </w:tcPr>
          <w:p>
            <w:pPr>
              <w:adjustRightInd w:val="0"/>
              <w:snapToGrid w:val="0"/>
              <w:spacing w:line="400" w:lineRule="exact"/>
              <w:jc w:val="center"/>
              <w:rPr>
                <w:rFonts w:hint="eastAsia" w:ascii="宋体" w:hAnsi="宋体" w:cs="宋体"/>
                <w:b/>
                <w:highlight w:val="none"/>
              </w:rPr>
            </w:pPr>
            <w:r>
              <w:rPr>
                <w:rFonts w:hint="eastAsia" w:ascii="宋体" w:hAnsi="宋体" w:cs="宋体"/>
                <w:b/>
                <w:highlight w:val="none"/>
              </w:rPr>
              <w:t>条款名称</w:t>
            </w:r>
          </w:p>
        </w:tc>
        <w:tc>
          <w:tcPr>
            <w:tcW w:w="6435" w:type="dxa"/>
            <w:vAlign w:val="center"/>
          </w:tcPr>
          <w:p>
            <w:pPr>
              <w:adjustRightInd w:val="0"/>
              <w:snapToGrid w:val="0"/>
              <w:spacing w:line="400" w:lineRule="exact"/>
              <w:jc w:val="center"/>
              <w:rPr>
                <w:rFonts w:hint="eastAsia" w:ascii="宋体" w:hAnsi="宋体" w:cs="宋体"/>
                <w:b/>
                <w:highlight w:val="none"/>
              </w:rPr>
            </w:pPr>
            <w:r>
              <w:rPr>
                <w:rFonts w:hint="eastAsia" w:ascii="宋体" w:hAnsi="宋体" w:cs="宋体"/>
                <w:b/>
                <w:highlight w:val="none"/>
              </w:rPr>
              <w:t>否决投标条件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85" w:type="dxa"/>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第二章3.2.3</w:t>
            </w:r>
          </w:p>
        </w:tc>
        <w:tc>
          <w:tcPr>
            <w:tcW w:w="1665" w:type="dxa"/>
            <w:vAlign w:val="center"/>
          </w:tcPr>
          <w:p>
            <w:pPr>
              <w:adjustRightInd w:val="0"/>
              <w:snapToGrid w:val="0"/>
              <w:spacing w:beforeLines="0" w:line="400" w:lineRule="exact"/>
              <w:jc w:val="center"/>
              <w:rPr>
                <w:rFonts w:hint="eastAsia" w:ascii="宋体" w:hAnsi="宋体" w:cs="宋体"/>
                <w:highlight w:val="none"/>
              </w:rPr>
            </w:pPr>
            <w:r>
              <w:rPr>
                <w:rFonts w:hint="eastAsia" w:ascii="宋体" w:hAnsi="宋体" w:cs="宋体"/>
                <w:highlight w:val="none"/>
              </w:rPr>
              <w:t>投标报价</w:t>
            </w:r>
          </w:p>
        </w:tc>
        <w:tc>
          <w:tcPr>
            <w:tcW w:w="6435" w:type="dxa"/>
            <w:vAlign w:val="center"/>
          </w:tcPr>
          <w:p>
            <w:pPr>
              <w:spacing w:before="0" w:beforeLines="0" w:line="400" w:lineRule="exact"/>
              <w:rPr>
                <w:rFonts w:hint="eastAsia" w:ascii="宋体" w:hAnsi="宋体" w:cs="宋体"/>
                <w:highlight w:val="none"/>
              </w:rPr>
            </w:pPr>
            <w:r>
              <w:rPr>
                <w:rFonts w:hint="eastAsia" w:ascii="宋体" w:hAnsi="宋体" w:cs="宋体"/>
                <w:szCs w:val="21"/>
                <w:highlight w:val="none"/>
              </w:rPr>
              <w:t>投标人的投标总报价不得超过最高限价，否则其投标将被否决。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85" w:type="dxa"/>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第二章3.4</w:t>
            </w:r>
          </w:p>
        </w:tc>
        <w:tc>
          <w:tcPr>
            <w:tcW w:w="1665" w:type="dxa"/>
            <w:vAlign w:val="center"/>
          </w:tcPr>
          <w:p>
            <w:pPr>
              <w:adjustRightInd w:val="0"/>
              <w:snapToGrid w:val="0"/>
              <w:spacing w:beforeLines="0" w:line="400" w:lineRule="exact"/>
              <w:jc w:val="center"/>
              <w:rPr>
                <w:rFonts w:hint="eastAsia" w:ascii="宋体" w:hAnsi="宋体" w:cs="宋体"/>
                <w:highlight w:val="none"/>
              </w:rPr>
            </w:pPr>
            <w:r>
              <w:rPr>
                <w:rFonts w:hint="eastAsia" w:ascii="宋体" w:hAnsi="宋体" w:cs="宋体"/>
                <w:highlight w:val="none"/>
              </w:rPr>
              <w:t>投标保证金</w:t>
            </w:r>
          </w:p>
        </w:tc>
        <w:tc>
          <w:tcPr>
            <w:tcW w:w="6435" w:type="dxa"/>
            <w:vAlign w:val="center"/>
          </w:tcPr>
          <w:p>
            <w:pPr>
              <w:spacing w:beforeLines="0" w:line="400" w:lineRule="exact"/>
              <w:rPr>
                <w:rFonts w:hint="eastAsia" w:ascii="宋体" w:hAnsi="宋体" w:cs="宋体"/>
                <w:highlight w:val="none"/>
              </w:rPr>
            </w:pPr>
            <w:r>
              <w:rPr>
                <w:rFonts w:hint="eastAsia" w:ascii="宋体" w:hAnsi="宋体" w:cs="宋体"/>
                <w:highlight w:val="none"/>
              </w:rPr>
              <w:t>投标人不按本章第 3.4.1 项要求提交投标保证金的，评标委员会将否决其投标。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85" w:type="dxa"/>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第二章3.6</w:t>
            </w:r>
          </w:p>
        </w:tc>
        <w:tc>
          <w:tcPr>
            <w:tcW w:w="1665" w:type="dxa"/>
            <w:vAlign w:val="center"/>
          </w:tcPr>
          <w:p>
            <w:pPr>
              <w:adjustRightInd w:val="0"/>
              <w:snapToGrid w:val="0"/>
              <w:spacing w:beforeLines="0" w:line="400" w:lineRule="exact"/>
              <w:jc w:val="center"/>
              <w:rPr>
                <w:rFonts w:hint="eastAsia" w:ascii="宋体" w:hAnsi="宋体" w:cs="宋体"/>
                <w:highlight w:val="none"/>
              </w:rPr>
            </w:pPr>
            <w:r>
              <w:rPr>
                <w:rFonts w:hint="eastAsia" w:ascii="宋体" w:hAnsi="宋体" w:cs="宋体"/>
                <w:highlight w:val="none"/>
              </w:rPr>
              <w:t>备选方案</w:t>
            </w:r>
          </w:p>
        </w:tc>
        <w:tc>
          <w:tcPr>
            <w:tcW w:w="6435" w:type="dxa"/>
            <w:vAlign w:val="center"/>
          </w:tcPr>
          <w:p>
            <w:pPr>
              <w:spacing w:beforeLines="0" w:line="400" w:lineRule="exact"/>
              <w:rPr>
                <w:rFonts w:hint="eastAsia" w:ascii="宋体" w:hAnsi="宋体" w:cs="宋体"/>
                <w:highlight w:val="none"/>
              </w:rPr>
            </w:pPr>
            <w:r>
              <w:rPr>
                <w:rFonts w:hint="eastAsia" w:ascii="宋体" w:hAnsi="宋体" w:cs="宋体"/>
                <w:highlight w:val="none"/>
              </w:rPr>
              <w:t>除投标人须知前附表规定允许外，投标人不得递交备选投标方案，否则其投标将被否决。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85" w:type="dxa"/>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第二章10.6</w:t>
            </w:r>
          </w:p>
        </w:tc>
        <w:tc>
          <w:tcPr>
            <w:tcW w:w="1665" w:type="dxa"/>
            <w:vAlign w:val="center"/>
          </w:tcPr>
          <w:p>
            <w:pPr>
              <w:adjustRightInd w:val="0"/>
              <w:snapToGrid w:val="0"/>
              <w:spacing w:beforeLines="0" w:line="400" w:lineRule="exact"/>
              <w:jc w:val="center"/>
              <w:rPr>
                <w:rFonts w:hint="eastAsia" w:ascii="宋体" w:hAnsi="宋体" w:cs="宋体"/>
                <w:highlight w:val="none"/>
              </w:rPr>
            </w:pPr>
            <w:r>
              <w:rPr>
                <w:rFonts w:hint="eastAsia" w:ascii="宋体" w:hAnsi="宋体" w:cs="宋体"/>
                <w:highlight w:val="none"/>
              </w:rPr>
              <w:t>其他2</w:t>
            </w:r>
          </w:p>
        </w:tc>
        <w:tc>
          <w:tcPr>
            <w:tcW w:w="6435" w:type="dxa"/>
            <w:vAlign w:val="center"/>
          </w:tcPr>
          <w:p>
            <w:pPr>
              <w:spacing w:beforeLines="0" w:line="400" w:lineRule="exact"/>
              <w:rPr>
                <w:rFonts w:hint="eastAsia" w:ascii="宋体" w:hAnsi="宋体" w:cs="宋体"/>
                <w:highlight w:val="none"/>
              </w:rPr>
            </w:pPr>
            <w:r>
              <w:rPr>
                <w:rFonts w:hint="eastAsia" w:ascii="宋体" w:hAnsi="宋体" w:cs="宋体"/>
                <w:highlight w:val="none"/>
              </w:rPr>
              <w:t>招标人将进一步核查投标人在投标文件中提供的材料，若在评标期间发现投标人提供了虚假资料，其投标将被否决。</w:t>
            </w:r>
          </w:p>
          <w:p>
            <w:pPr>
              <w:spacing w:beforeLines="0" w:line="400" w:lineRule="exact"/>
              <w:rPr>
                <w:rFonts w:hint="eastAsia" w:ascii="宋体" w:hAnsi="宋体" w:cs="宋体"/>
                <w:highlight w:val="none"/>
              </w:rPr>
            </w:pPr>
            <w:r>
              <w:rPr>
                <w:rFonts w:hint="eastAsia" w:ascii="宋体" w:hAnsi="宋体" w:cs="宋体"/>
                <w:highlight w:val="none"/>
              </w:rPr>
              <w:t>评标期间若发现投标人有围标、串标或以他人名义参加投标的，其投标将被否决。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85" w:type="dxa"/>
            <w:vMerge w:val="restart"/>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第三章3.1</w:t>
            </w:r>
          </w:p>
        </w:tc>
        <w:tc>
          <w:tcPr>
            <w:tcW w:w="1665" w:type="dxa"/>
            <w:vMerge w:val="restart"/>
            <w:vAlign w:val="center"/>
          </w:tcPr>
          <w:p>
            <w:pPr>
              <w:adjustRightInd w:val="0"/>
              <w:snapToGrid w:val="0"/>
              <w:spacing w:beforeLines="0" w:line="400" w:lineRule="exact"/>
              <w:jc w:val="center"/>
              <w:rPr>
                <w:rFonts w:hint="eastAsia" w:ascii="宋体" w:hAnsi="宋体" w:cs="宋体"/>
                <w:highlight w:val="none"/>
              </w:rPr>
            </w:pPr>
            <w:r>
              <w:rPr>
                <w:rFonts w:hint="eastAsia" w:ascii="宋体" w:hAnsi="宋体" w:cs="宋体"/>
                <w:highlight w:val="none"/>
              </w:rPr>
              <w:t>初步评审</w:t>
            </w:r>
          </w:p>
        </w:tc>
        <w:tc>
          <w:tcPr>
            <w:tcW w:w="6435" w:type="dxa"/>
            <w:vAlign w:val="center"/>
          </w:tcPr>
          <w:p>
            <w:pPr>
              <w:adjustRightInd w:val="0"/>
              <w:snapToGrid w:val="0"/>
              <w:spacing w:beforeLines="0" w:line="400" w:lineRule="exact"/>
              <w:ind w:firstLine="420" w:firstLineChars="200"/>
              <w:rPr>
                <w:rFonts w:hint="eastAsia" w:ascii="宋体" w:hAnsi="宋体" w:cs="宋体"/>
                <w:highlight w:val="none"/>
              </w:rPr>
            </w:pPr>
            <w:r>
              <w:rPr>
                <w:rFonts w:hint="eastAsia" w:ascii="宋体" w:hAnsi="宋体" w:cs="宋体"/>
                <w:kern w:val="0"/>
                <w:szCs w:val="21"/>
                <w:highlight w:val="none"/>
              </w:rPr>
              <w:t>评标委员会依据本章第 2.1 款规定的标准对投标文件进行初步评审。有一项不符合评审标准的，评标委员会应当否决其投标。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85" w:type="dxa"/>
            <w:vMerge w:val="continue"/>
            <w:vAlign w:val="center"/>
          </w:tcPr>
          <w:p>
            <w:pPr>
              <w:adjustRightInd w:val="0"/>
              <w:snapToGrid w:val="0"/>
              <w:spacing w:line="360" w:lineRule="auto"/>
              <w:jc w:val="center"/>
              <w:rPr>
                <w:rFonts w:hint="eastAsia" w:ascii="宋体" w:hAnsi="宋体" w:cs="宋体"/>
                <w:highlight w:val="none"/>
              </w:rPr>
            </w:pPr>
          </w:p>
        </w:tc>
        <w:tc>
          <w:tcPr>
            <w:tcW w:w="1665" w:type="dxa"/>
            <w:vMerge w:val="continue"/>
            <w:vAlign w:val="center"/>
          </w:tcPr>
          <w:p>
            <w:pPr>
              <w:adjustRightInd w:val="0"/>
              <w:snapToGrid w:val="0"/>
              <w:spacing w:beforeLines="0" w:line="400" w:lineRule="exact"/>
              <w:rPr>
                <w:rFonts w:hint="eastAsia" w:ascii="宋体" w:hAnsi="宋体" w:cs="宋体"/>
                <w:highlight w:val="none"/>
              </w:rPr>
            </w:pPr>
          </w:p>
        </w:tc>
        <w:tc>
          <w:tcPr>
            <w:tcW w:w="6435" w:type="dxa"/>
            <w:vAlign w:val="center"/>
          </w:tcPr>
          <w:p>
            <w:pPr>
              <w:spacing w:before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投标人有以下情形之一的，评标委员会应当否决其投标：</w:t>
            </w:r>
          </w:p>
          <w:p>
            <w:pPr>
              <w:spacing w:beforeLines="0"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（1）投标文件没有对招标文件的实质性要求和条件作出响应，或者对招标文件的偏差超出招标文件规定的偏差范围或最高项数；</w:t>
            </w:r>
          </w:p>
          <w:p>
            <w:pPr>
              <w:spacing w:beforeLines="0" w:line="400" w:lineRule="exact"/>
              <w:ind w:firstLine="420" w:firstLineChars="200"/>
              <w:rPr>
                <w:rFonts w:hint="eastAsia" w:ascii="宋体" w:hAnsi="宋体" w:cs="宋体"/>
                <w:highlight w:val="none"/>
              </w:rPr>
            </w:pPr>
            <w:r>
              <w:rPr>
                <w:rFonts w:hint="eastAsia" w:ascii="宋体" w:hAnsi="宋体" w:cs="宋体"/>
                <w:kern w:val="0"/>
                <w:szCs w:val="21"/>
                <w:highlight w:val="none"/>
              </w:rPr>
              <w:t>（2）有串通投标、弄虚作假、行贿等违法行为。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485" w:type="dxa"/>
            <w:vMerge w:val="continue"/>
            <w:vAlign w:val="center"/>
          </w:tcPr>
          <w:p>
            <w:pPr>
              <w:adjustRightInd w:val="0"/>
              <w:snapToGrid w:val="0"/>
              <w:spacing w:line="360" w:lineRule="auto"/>
              <w:jc w:val="center"/>
              <w:rPr>
                <w:rFonts w:hint="eastAsia" w:ascii="宋体" w:hAnsi="宋体" w:cs="宋体"/>
                <w:highlight w:val="none"/>
              </w:rPr>
            </w:pPr>
          </w:p>
        </w:tc>
        <w:tc>
          <w:tcPr>
            <w:tcW w:w="1665" w:type="dxa"/>
            <w:vMerge w:val="continue"/>
            <w:vAlign w:val="center"/>
          </w:tcPr>
          <w:p>
            <w:pPr>
              <w:adjustRightInd w:val="0"/>
              <w:snapToGrid w:val="0"/>
              <w:spacing w:beforeLines="0" w:line="400" w:lineRule="exact"/>
              <w:rPr>
                <w:rFonts w:hint="eastAsia" w:ascii="宋体" w:hAnsi="宋体" w:cs="宋体"/>
                <w:highlight w:val="none"/>
              </w:rPr>
            </w:pPr>
          </w:p>
        </w:tc>
        <w:tc>
          <w:tcPr>
            <w:tcW w:w="6435" w:type="dxa"/>
            <w:vAlign w:val="center"/>
          </w:tcPr>
          <w:p>
            <w:pPr>
              <w:adjustRightInd w:val="0"/>
              <w:snapToGrid w:val="0"/>
              <w:spacing w:beforeLines="0" w:line="400" w:lineRule="exact"/>
              <w:ind w:firstLine="420" w:firstLineChars="200"/>
              <w:rPr>
                <w:rFonts w:hint="eastAsia" w:ascii="宋体" w:hAnsi="宋体" w:cs="宋体"/>
                <w:highlight w:val="none"/>
              </w:rPr>
            </w:pPr>
            <w:r>
              <w:rPr>
                <w:rFonts w:hint="eastAsia" w:ascii="宋体" w:hAnsi="宋体" w:cs="宋体"/>
                <w:kern w:val="0"/>
                <w:szCs w:val="21"/>
                <w:highlight w:val="none"/>
              </w:rPr>
              <w:t>投标报价有算术错误及其他错误的，评标委员会按以下原则要求投标人对投标报价进行修正，并要求投标人书面澄清确认。投标人拒不澄清确认的，评标委员会应当否决其投标</w:t>
            </w:r>
            <w:r>
              <w:rPr>
                <w:rFonts w:hint="eastAsia" w:ascii="宋体" w:hAnsi="宋体" w:cs="宋体"/>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85" w:type="dxa"/>
            <w:vAlign w:val="center"/>
          </w:tcPr>
          <w:p>
            <w:pPr>
              <w:adjustRightInd w:val="0"/>
              <w:snapToGrid w:val="0"/>
              <w:spacing w:line="360" w:lineRule="auto"/>
              <w:jc w:val="center"/>
              <w:rPr>
                <w:rFonts w:hint="eastAsia" w:ascii="宋体" w:hAnsi="宋体" w:cs="宋体"/>
                <w:highlight w:val="none"/>
              </w:rPr>
            </w:pPr>
            <w:r>
              <w:rPr>
                <w:rFonts w:hint="eastAsia" w:ascii="宋体" w:hAnsi="宋体" w:cs="宋体"/>
                <w:highlight w:val="none"/>
              </w:rPr>
              <w:t>第三章3.2</w:t>
            </w:r>
          </w:p>
        </w:tc>
        <w:tc>
          <w:tcPr>
            <w:tcW w:w="8100" w:type="dxa"/>
            <w:gridSpan w:val="2"/>
            <w:vAlign w:val="center"/>
          </w:tcPr>
          <w:p>
            <w:pPr>
              <w:adjustRightInd w:val="0"/>
              <w:snapToGrid w:val="0"/>
              <w:spacing w:beforeLines="0" w:line="400" w:lineRule="exact"/>
              <w:ind w:firstLine="420" w:firstLineChars="200"/>
              <w:rPr>
                <w:rFonts w:hint="eastAsia" w:ascii="宋体" w:hAnsi="宋体" w:cs="宋体"/>
                <w:highlight w:val="none"/>
              </w:rPr>
            </w:pPr>
            <w:r>
              <w:rPr>
                <w:rFonts w:hint="eastAsia" w:ascii="宋体" w:hAnsi="宋体" w:cs="宋体"/>
                <w:kern w:val="0"/>
                <w:szCs w:val="21"/>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pPr>
        <w:pStyle w:val="17"/>
        <w:rPr>
          <w:color w:val="auto"/>
          <w:highlight w:val="none"/>
        </w:rPr>
      </w:pPr>
    </w:p>
    <w:p>
      <w:pPr>
        <w:pStyle w:val="17"/>
        <w:rPr>
          <w:color w:val="auto"/>
          <w:highlight w:val="none"/>
        </w:rPr>
      </w:pPr>
    </w:p>
    <w:p>
      <w:pPr>
        <w:autoSpaceDE w:val="0"/>
        <w:autoSpaceDN w:val="0"/>
        <w:adjustRightInd w:val="0"/>
        <w:spacing w:before="156" w:beforeLines="50" w:after="156" w:afterLines="50" w:line="360" w:lineRule="auto"/>
        <w:ind w:left="105" w:leftChars="50" w:right="105" w:rightChars="50"/>
        <w:jc w:val="center"/>
        <w:rPr>
          <w:rFonts w:hint="eastAsia" w:ascii="宋体" w:hAnsi="宋体" w:cs="宋体"/>
          <w:kern w:val="0"/>
          <w:szCs w:val="21"/>
          <w:highlight w:val="none"/>
        </w:rPr>
      </w:pPr>
    </w:p>
    <w:p>
      <w:pPr>
        <w:pStyle w:val="23"/>
        <w:rPr>
          <w:rStyle w:val="24"/>
          <w:rFonts w:hint="eastAsia"/>
          <w:b/>
          <w:highlight w:val="none"/>
        </w:rPr>
      </w:pPr>
      <w:r>
        <w:rPr>
          <w:rFonts w:hint="eastAsia" w:ascii="宋体" w:hAnsi="宋体" w:cs="宋体"/>
          <w:spacing w:val="2"/>
          <w:position w:val="-5"/>
          <w:sz w:val="44"/>
          <w:szCs w:val="44"/>
          <w:highlight w:val="none"/>
        </w:rPr>
        <w:br w:type="page"/>
      </w:r>
      <w:bookmarkStart w:id="143" w:name="_Toc18460"/>
      <w:bookmarkStart w:id="144" w:name="_Toc5443"/>
      <w:bookmarkStart w:id="145" w:name="_Toc10449"/>
      <w:r>
        <w:rPr>
          <w:rFonts w:hint="eastAsia"/>
          <w:highlight w:val="none"/>
        </w:rPr>
        <w:t>第四章  合同条款及格式</w:t>
      </w:r>
    </w:p>
    <w:bookmarkEnd w:id="143"/>
    <w:bookmarkEnd w:id="144"/>
    <w:bookmarkEnd w:id="145"/>
    <w:p>
      <w:pPr>
        <w:autoSpaceDE w:val="0"/>
        <w:autoSpaceDN w:val="0"/>
        <w:adjustRightInd w:val="0"/>
        <w:spacing w:before="156" w:beforeLines="50" w:after="156" w:afterLines="50" w:line="360" w:lineRule="auto"/>
        <w:ind w:left="105" w:leftChars="50" w:right="105" w:rightChars="50"/>
        <w:jc w:val="left"/>
        <w:rPr>
          <w:rFonts w:hint="eastAsia" w:ascii="宋体" w:hAnsi="宋体" w:cs="宋体"/>
          <w:kern w:val="0"/>
          <w:sz w:val="20"/>
          <w:szCs w:val="20"/>
          <w:highlight w:val="none"/>
        </w:rPr>
      </w:pPr>
    </w:p>
    <w:p>
      <w:pPr>
        <w:spacing w:after="156" w:afterLines="50"/>
        <w:ind w:right="964" w:firstLine="878" w:firstLineChars="200"/>
        <w:jc w:val="right"/>
        <w:rPr>
          <w:rFonts w:ascii="黑体" w:hAnsi="黑体" w:eastAsia="黑体"/>
          <w:color w:val="000000"/>
          <w:highlight w:val="none"/>
        </w:rPr>
      </w:pPr>
      <w:r>
        <w:rPr>
          <w:rFonts w:ascii="宋体" w:hAnsi="宋体" w:cs="宋体"/>
          <w:spacing w:val="2"/>
          <w:w w:val="99"/>
          <w:kern w:val="0"/>
          <w:sz w:val="44"/>
          <w:szCs w:val="44"/>
          <w:highlight w:val="none"/>
        </w:rPr>
        <w:br w:type="page"/>
      </w:r>
      <w:r>
        <w:rPr>
          <w:rFonts w:hint="eastAsia" w:ascii="黑体" w:hAnsi="黑体" w:eastAsia="黑体"/>
          <w:color w:val="000000"/>
          <w:highlight w:val="none"/>
        </w:rPr>
        <w:t>合同编号：CQA</w:t>
      </w:r>
    </w:p>
    <w:p>
      <w:pPr>
        <w:spacing w:after="156" w:afterLines="50"/>
        <w:ind w:firstLine="422" w:firstLineChars="200"/>
        <w:jc w:val="center"/>
        <w:rPr>
          <w:rFonts w:hint="eastAsia" w:ascii="仿宋" w:hAnsi="仿宋" w:eastAsia="仿宋"/>
          <w:b/>
          <w:color w:val="000000"/>
          <w:highlight w:val="none"/>
        </w:rPr>
      </w:pPr>
    </w:p>
    <w:p>
      <w:pPr>
        <w:snapToGrid w:val="0"/>
        <w:spacing w:line="360" w:lineRule="auto"/>
        <w:jc w:val="center"/>
        <w:rPr>
          <w:rFonts w:hint="eastAsia" w:cs="Calibri"/>
          <w:b/>
          <w:sz w:val="32"/>
          <w:szCs w:val="32"/>
          <w:highlight w:val="none"/>
        </w:rPr>
      </w:pPr>
    </w:p>
    <w:p>
      <w:pPr>
        <w:snapToGrid w:val="0"/>
        <w:spacing w:line="360" w:lineRule="auto"/>
        <w:jc w:val="center"/>
        <w:rPr>
          <w:rFonts w:hint="eastAsia" w:cs="Calibri"/>
          <w:b/>
          <w:sz w:val="32"/>
          <w:szCs w:val="32"/>
          <w:highlight w:val="none"/>
        </w:rPr>
      </w:pPr>
    </w:p>
    <w:p>
      <w:pPr>
        <w:snapToGrid w:val="0"/>
        <w:spacing w:line="360" w:lineRule="auto"/>
        <w:rPr>
          <w:rFonts w:hint="eastAsia"/>
          <w:b/>
          <w:sz w:val="32"/>
          <w:szCs w:val="32"/>
          <w:highlight w:val="none"/>
        </w:rPr>
      </w:pPr>
      <w:r>
        <w:rPr>
          <w:highlight w:val="none"/>
        </w:rPr>
        <mc:AlternateContent>
          <mc:Choice Requires="wpg">
            <w:drawing>
              <wp:anchor distT="0" distB="0" distL="114300" distR="114300" simplePos="0" relativeHeight="251660288" behindDoc="0" locked="0" layoutInCell="1" allowOverlap="1">
                <wp:simplePos x="0" y="0"/>
                <wp:positionH relativeFrom="column">
                  <wp:posOffset>1123315</wp:posOffset>
                </wp:positionH>
                <wp:positionV relativeFrom="paragraph">
                  <wp:posOffset>9525</wp:posOffset>
                </wp:positionV>
                <wp:extent cx="3685540" cy="1657350"/>
                <wp:effectExtent l="0" t="9525" r="10160" b="9525"/>
                <wp:wrapNone/>
                <wp:docPr id="3" name="组合 3"/>
                <wp:cNvGraphicFramePr/>
                <a:graphic xmlns:a="http://schemas.openxmlformats.org/drawingml/2006/main">
                  <a:graphicData uri="http://schemas.microsoft.com/office/word/2010/wordprocessingGroup">
                    <wpg:wgp>
                      <wpg:cNvGrpSpPr/>
                      <wpg:grpSpPr>
                        <a:xfrm>
                          <a:off x="0" y="0"/>
                          <a:ext cx="3685540" cy="1657350"/>
                          <a:chOff x="3488" y="537861"/>
                          <a:chExt cx="5804" cy="2610"/>
                        </a:xfrm>
                      </wpg:grpSpPr>
                      <wps:wsp>
                        <wps:cNvPr id="1" name="直接箭头连接符 1"/>
                        <wps:cNvCnPr/>
                        <wps:spPr>
                          <a:xfrm>
                            <a:off x="3491" y="537861"/>
                            <a:ext cx="5801" cy="0"/>
                          </a:xfrm>
                          <a:prstGeom prst="straightConnector1">
                            <a:avLst/>
                          </a:prstGeom>
                          <a:ln w="19050" cap="flat" cmpd="sng">
                            <a:solidFill>
                              <a:srgbClr val="000000"/>
                            </a:solidFill>
                            <a:prstDash val="solid"/>
                            <a:headEnd type="none" w="med" len="med"/>
                            <a:tailEnd type="none" w="med" len="med"/>
                          </a:ln>
                        </wps:spPr>
                        <wps:bodyPr/>
                      </wps:wsp>
                      <wps:wsp>
                        <wps:cNvPr id="2" name="直接箭头连接符 2"/>
                        <wps:cNvCnPr/>
                        <wps:spPr>
                          <a:xfrm>
                            <a:off x="3488" y="540471"/>
                            <a:ext cx="5801" cy="0"/>
                          </a:xfrm>
                          <a:prstGeom prst="straightConnector1">
                            <a:avLst/>
                          </a:prstGeom>
                          <a:ln w="19050"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88.45pt;margin-top:0.75pt;height:130.5pt;width:290.2pt;z-index:251660288;mso-width-relative:page;mso-height-relative:page;" coordorigin="3488,537861" coordsize="5804,2610" o:gfxdata="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TrwrbZAAAACQEAAA8AAAAA&#10;AAAAAQAgAAAAIgAAAGRycy9kb3ducmV2LnhtbFBLAQIUABQAAAAIAIdO4kDefgoRhQIAAOsGAAAO&#10;AAAAAAAAAAEAIAAAACgBAABkcnMvZTJvRG9jLnhtbFBLBQYAAAAABgAGAFkBAAAfBgAAAAA=&#10;">
                <o:lock v:ext="edit" aspectratio="f"/>
                <v:shape id="_x0000_s1026" o:spid="_x0000_s1026" o:spt="32" type="#_x0000_t32" style="position:absolute;left:3491;top:537861;height:0;width:5801;" filled="f" stroked="t" coordsize="21600,21600" o:gfxdata="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8OO7ltwAAANo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shape>
                <v:shape id="_x0000_s1026" o:spid="_x0000_s1026" o:spt="32" type="#_x0000_t32" style="position:absolute;left:3488;top:540471;height:0;width:5801;" filled="f" stroked="t" coordsize="21600,21600" o:gfxdata="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6nCS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shape>
              </v:group>
            </w:pict>
          </mc:Fallback>
        </mc:AlternateContent>
      </w:r>
      <w:r>
        <w:rPr>
          <w:rFonts w:hint="eastAsia"/>
          <w:b/>
          <w:sz w:val="32"/>
          <w:szCs w:val="32"/>
          <w:highlight w:val="none"/>
        </w:rPr>
        <w:t xml:space="preserve">                  </w:t>
      </w:r>
    </w:p>
    <w:p>
      <w:pPr>
        <w:snapToGrid w:val="0"/>
        <w:spacing w:line="360" w:lineRule="auto"/>
        <w:jc w:val="center"/>
        <w:rPr>
          <w:rFonts w:hint="eastAsia" w:ascii="黑体" w:hAnsi="黑体" w:eastAsia="黑体"/>
          <w:sz w:val="48"/>
          <w:szCs w:val="48"/>
          <w:highlight w:val="none"/>
        </w:rPr>
      </w:pPr>
      <w:r>
        <w:rPr>
          <w:rFonts w:hint="eastAsia" w:ascii="黑体" w:hAnsi="黑体" w:eastAsia="黑体"/>
          <w:sz w:val="48"/>
          <w:szCs w:val="48"/>
          <w:highlight w:val="none"/>
        </w:rPr>
        <w:t>重庆新机场</w:t>
      </w:r>
      <w:r>
        <w:rPr>
          <w:rFonts w:hint="eastAsia" w:ascii="黑体" w:hAnsi="黑体" w:eastAsia="黑体"/>
          <w:sz w:val="48"/>
          <w:szCs w:val="48"/>
          <w:highlight w:val="none"/>
          <w:lang w:eastAsia="zh-CN"/>
        </w:rPr>
        <w:t>防洪专项研究</w:t>
      </w:r>
    </w:p>
    <w:p>
      <w:pPr>
        <w:snapToGrid w:val="0"/>
        <w:spacing w:line="360" w:lineRule="auto"/>
        <w:jc w:val="center"/>
        <w:rPr>
          <w:rFonts w:hint="eastAsia" w:ascii="黑体" w:hAnsi="黑体" w:eastAsia="黑体"/>
          <w:sz w:val="48"/>
          <w:szCs w:val="48"/>
          <w:highlight w:val="none"/>
        </w:rPr>
      </w:pPr>
      <w:r>
        <w:rPr>
          <w:rFonts w:hint="eastAsia" w:ascii="黑体" w:hAnsi="黑体" w:eastAsia="黑体"/>
          <w:sz w:val="48"/>
          <w:szCs w:val="48"/>
          <w:highlight w:val="none"/>
        </w:rPr>
        <w:t>咨询服务合同</w:t>
      </w:r>
    </w:p>
    <w:p>
      <w:pPr>
        <w:snapToGrid w:val="0"/>
        <w:spacing w:line="360" w:lineRule="auto"/>
        <w:rPr>
          <w:rFonts w:hint="eastAsia"/>
          <w:b/>
          <w:sz w:val="32"/>
          <w:szCs w:val="32"/>
          <w:highlight w:val="none"/>
        </w:rPr>
      </w:pPr>
      <w:r>
        <w:rPr>
          <w:rFonts w:hint="eastAsia"/>
          <w:b/>
          <w:sz w:val="32"/>
          <w:szCs w:val="32"/>
          <w:highlight w:val="none"/>
        </w:rPr>
        <w:t xml:space="preserve"> </w:t>
      </w:r>
    </w:p>
    <w:p>
      <w:pPr>
        <w:snapToGrid w:val="0"/>
        <w:spacing w:line="360" w:lineRule="auto"/>
        <w:rPr>
          <w:rFonts w:hint="eastAsia"/>
          <w:b/>
          <w:sz w:val="32"/>
          <w:szCs w:val="32"/>
          <w:highlight w:val="none"/>
        </w:rPr>
      </w:pPr>
    </w:p>
    <w:p>
      <w:pPr>
        <w:snapToGrid w:val="0"/>
        <w:spacing w:line="360" w:lineRule="auto"/>
        <w:jc w:val="center"/>
        <w:rPr>
          <w:rFonts w:hint="eastAsia"/>
          <w:b/>
          <w:sz w:val="32"/>
          <w:szCs w:val="32"/>
          <w:highlight w:val="none"/>
        </w:rPr>
      </w:pPr>
    </w:p>
    <w:p>
      <w:pPr>
        <w:spacing w:before="156"/>
        <w:ind w:firstLine="2400" w:firstLineChars="800"/>
        <w:rPr>
          <w:rFonts w:eastAsia="黑体"/>
          <w:sz w:val="30"/>
          <w:szCs w:val="30"/>
          <w:highlight w:val="none"/>
        </w:rPr>
      </w:pPr>
      <w:r>
        <w:rPr>
          <w:rFonts w:hint="eastAsia" w:eastAsia="黑体"/>
          <w:sz w:val="30"/>
          <w:szCs w:val="30"/>
          <w:highlight w:val="none"/>
        </w:rPr>
        <w:t>甲方：重庆机场集团有限公司</w:t>
      </w:r>
    </w:p>
    <w:p>
      <w:pPr>
        <w:spacing w:before="156"/>
        <w:ind w:left="1838" w:leftChars="875" w:firstLine="600"/>
        <w:rPr>
          <w:rFonts w:eastAsia="黑体"/>
          <w:sz w:val="30"/>
          <w:szCs w:val="30"/>
          <w:highlight w:val="none"/>
        </w:rPr>
      </w:pPr>
      <w:r>
        <w:rPr>
          <w:rFonts w:hint="eastAsia" w:eastAsia="黑体"/>
          <w:sz w:val="30"/>
          <w:szCs w:val="30"/>
          <w:highlight w:val="none"/>
        </w:rPr>
        <w:t>乙方：</w:t>
      </w:r>
      <w:r>
        <w:rPr>
          <w:rFonts w:eastAsia="黑体"/>
          <w:bCs/>
          <w:sz w:val="30"/>
          <w:szCs w:val="30"/>
          <w:highlight w:val="none"/>
          <w:u w:val="single"/>
        </w:rPr>
        <w:t xml:space="preserve">                 </w:t>
      </w:r>
      <w:r>
        <w:rPr>
          <w:rFonts w:eastAsia="黑体"/>
          <w:b/>
          <w:bCs/>
          <w:sz w:val="30"/>
          <w:szCs w:val="30"/>
          <w:highlight w:val="none"/>
          <w:u w:val="single"/>
        </w:rPr>
        <w:t xml:space="preserve">   </w:t>
      </w:r>
    </w:p>
    <w:p>
      <w:pPr>
        <w:tabs>
          <w:tab w:val="left" w:pos="7096"/>
        </w:tabs>
        <w:snapToGrid w:val="0"/>
        <w:spacing w:line="360" w:lineRule="auto"/>
        <w:rPr>
          <w:rFonts w:hint="eastAsia"/>
          <w:b/>
          <w:sz w:val="32"/>
          <w:szCs w:val="32"/>
          <w:highlight w:val="none"/>
        </w:rPr>
      </w:pPr>
    </w:p>
    <w:p>
      <w:pPr>
        <w:spacing w:line="520" w:lineRule="exact"/>
        <w:jc w:val="center"/>
        <w:rPr>
          <w:rFonts w:hint="eastAsia" w:ascii="黑体" w:hAnsi="黑体" w:eastAsia="黑体"/>
          <w:b/>
          <w:bCs/>
          <w:color w:val="000000"/>
          <w:sz w:val="32"/>
          <w:szCs w:val="32"/>
          <w:highlight w:val="none"/>
        </w:rPr>
      </w:pPr>
    </w:p>
    <w:p>
      <w:pPr>
        <w:spacing w:line="520" w:lineRule="exact"/>
        <w:ind w:firstLine="435"/>
        <w:rPr>
          <w:rFonts w:ascii="仿宋" w:hAnsi="仿宋" w:eastAsia="仿宋" w:cs="仿宋"/>
          <w:sz w:val="28"/>
          <w:szCs w:val="28"/>
          <w:highlight w:val="none"/>
        </w:rPr>
      </w:pPr>
      <w:r>
        <w:rPr>
          <w:rFonts w:ascii="仿宋" w:hAnsi="仿宋" w:eastAsia="仿宋" w:cs="仿宋"/>
          <w:sz w:val="28"/>
          <w:szCs w:val="28"/>
          <w:highlight w:val="none"/>
        </w:rPr>
        <w:br w:type="page"/>
      </w:r>
    </w:p>
    <w:p>
      <w:pPr>
        <w:widowControl/>
        <w:adjustRightInd w:val="0"/>
        <w:snapToGrid w:val="0"/>
        <w:spacing w:before="156"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 xml:space="preserve">    甲方（委托方）：重庆机场集团有限公司</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统一社会信用代码：</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通讯地址：</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 xml:space="preserve">法定代表人或委托代理人： </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联系电话：</w:t>
      </w:r>
    </w:p>
    <w:p>
      <w:pPr>
        <w:pStyle w:val="4"/>
        <w:adjustRightInd w:val="0"/>
        <w:snapToGrid w:val="0"/>
        <w:spacing w:before="156"/>
        <w:ind w:firstLine="480"/>
        <w:rPr>
          <w:rFonts w:hint="eastAsia" w:ascii="宋体" w:hAnsi="宋体" w:eastAsia="宋体"/>
          <w:bCs/>
          <w:color w:val="auto"/>
          <w:sz w:val="24"/>
          <w:szCs w:val="24"/>
          <w:highlight w:val="none"/>
          <w:lang w:eastAsia="zh-CN"/>
        </w:rPr>
      </w:pP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乙方（受托方）：</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统一社会信用代码：</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通讯地址：</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 xml:space="preserve">法定代表人或委托代理人： </w:t>
      </w:r>
    </w:p>
    <w:p>
      <w:pPr>
        <w:pStyle w:val="4"/>
        <w:adjustRightInd w:val="0"/>
        <w:snapToGrid w:val="0"/>
        <w:spacing w:before="156"/>
        <w:ind w:firstLine="48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联系电话：</w:t>
      </w:r>
    </w:p>
    <w:p>
      <w:pPr>
        <w:tabs>
          <w:tab w:val="left" w:pos="2071"/>
        </w:tabs>
        <w:snapToGrid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p>
    <w:p>
      <w:pPr>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根据《中华人民共和国民法典》及其他有关法律法规的相关规定，经甲乙双方协商一致，就</w:t>
      </w:r>
      <w:r>
        <w:rPr>
          <w:rFonts w:hint="eastAsia" w:ascii="仿宋" w:hAnsi="仿宋" w:eastAsia="仿宋" w:cs="仿宋"/>
          <w:sz w:val="28"/>
          <w:szCs w:val="28"/>
          <w:highlight w:val="none"/>
          <w:u w:val="single"/>
        </w:rPr>
        <w:t>重庆新机场</w:t>
      </w:r>
      <w:r>
        <w:rPr>
          <w:rFonts w:hint="eastAsia" w:ascii="仿宋" w:hAnsi="仿宋" w:eastAsia="仿宋" w:cs="仿宋"/>
          <w:sz w:val="28"/>
          <w:szCs w:val="28"/>
          <w:highlight w:val="none"/>
          <w:u w:val="single"/>
          <w:lang w:eastAsia="zh-CN"/>
        </w:rPr>
        <w:t>防洪专项研究</w:t>
      </w:r>
      <w:r>
        <w:rPr>
          <w:rFonts w:hint="eastAsia" w:ascii="仿宋" w:hAnsi="仿宋" w:eastAsia="仿宋" w:cs="仿宋"/>
          <w:sz w:val="28"/>
          <w:szCs w:val="28"/>
          <w:highlight w:val="none"/>
        </w:rPr>
        <w:t>咨询服务事宜签订本合同，以共同遵守。</w:t>
      </w:r>
    </w:p>
    <w:p>
      <w:pPr>
        <w:snapToGrid w:val="0"/>
        <w:spacing w:line="520" w:lineRule="exact"/>
        <w:ind w:firstLine="562" w:firstLineChars="200"/>
        <w:rPr>
          <w:rFonts w:ascii="黑体" w:hAnsi="黑体" w:eastAsia="黑体" w:cs="黑体"/>
          <w:sz w:val="28"/>
          <w:szCs w:val="28"/>
          <w:highlight w:val="none"/>
        </w:rPr>
      </w:pPr>
      <w:r>
        <w:rPr>
          <w:rFonts w:hint="eastAsia" w:ascii="黑体" w:hAnsi="黑体" w:eastAsia="黑体" w:cs="黑体"/>
          <w:b/>
          <w:sz w:val="28"/>
          <w:szCs w:val="28"/>
          <w:highlight w:val="none"/>
        </w:rPr>
        <w:t xml:space="preserve">第一条  </w:t>
      </w:r>
      <w:r>
        <w:rPr>
          <w:rFonts w:hint="eastAsia" w:ascii="黑体" w:hAnsi="黑体" w:eastAsia="黑体" w:cs="黑体"/>
          <w:b/>
          <w:bCs/>
          <w:sz w:val="28"/>
          <w:szCs w:val="28"/>
          <w:highlight w:val="none"/>
        </w:rPr>
        <w:t>咨询内容、要求</w:t>
      </w:r>
    </w:p>
    <w:p>
      <w:pPr>
        <w:pStyle w:val="17"/>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 项目概况：</w:t>
      </w:r>
    </w:p>
    <w:p>
      <w:pPr>
        <w:pStyle w:val="17"/>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重庆新机场推荐场址璧山正兴位于重庆主城西部，与朝天门直线距离约48km，处于缙云山与云雾山之间的璧山槽谷，在璧山城区西南，距离约21km，东南侧紧邻丁家街道，北侧临近正兴镇。东南方向离江津城区约20km，西南方向离永川城区约18km。重庆新机场本期计划以2035年为设计目标年，年旅客吞吐量4000万人次，货邮吞吐量100万吨；远期目标年为2050年，年旅客吞吐量7000万人次，货邮吞吐量350万吨。新机场预计规划3-4条3200米-3800米的平行跑道，飞行区等级为4F级，占地约37km²。一期建设任务预计包含新建T1航站楼、两条跑道、综合交通枢纽及相关配套设施，</w:t>
      </w:r>
      <w:r>
        <w:rPr>
          <w:rFonts w:hint="eastAsia" w:ascii="仿宋" w:hAnsi="仿宋" w:eastAsia="仿宋" w:cs="仿宋"/>
          <w:sz w:val="28"/>
          <w:szCs w:val="28"/>
          <w:highlight w:val="none"/>
          <w:lang w:eastAsia="zh-CN"/>
        </w:rPr>
        <w:t>投资估算约</w:t>
      </w:r>
      <w:r>
        <w:rPr>
          <w:rFonts w:hint="eastAsia" w:ascii="仿宋" w:hAnsi="仿宋" w:eastAsia="仿宋" w:cs="仿宋"/>
          <w:sz w:val="28"/>
          <w:szCs w:val="28"/>
          <w:highlight w:val="none"/>
        </w:rPr>
        <w:t>450亿元。</w:t>
      </w:r>
    </w:p>
    <w:p>
      <w:pPr>
        <w:pStyle w:val="17"/>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按照新机场开工建设任务安排，新机场将先期开工</w:t>
      </w:r>
      <w:r>
        <w:rPr>
          <w:rFonts w:hint="eastAsia" w:ascii="仿宋" w:hAnsi="仿宋" w:eastAsia="仿宋" w:cs="仿宋"/>
          <w:sz w:val="28"/>
          <w:szCs w:val="28"/>
          <w:highlight w:val="none"/>
          <w:lang w:eastAsia="zh-CN"/>
        </w:rPr>
        <w:t>综合交通枢纽工程</w:t>
      </w:r>
      <w:r>
        <w:rPr>
          <w:rFonts w:hint="eastAsia" w:ascii="仿宋" w:hAnsi="仿宋" w:eastAsia="仿宋" w:cs="仿宋"/>
          <w:sz w:val="28"/>
          <w:szCs w:val="28"/>
          <w:highlight w:val="none"/>
        </w:rPr>
        <w:t>，后期开工民航主体工程。目前，甲方已委托开展新机场预可研、可研、总规报告编制和</w:t>
      </w:r>
      <w:r>
        <w:rPr>
          <w:rFonts w:hint="eastAsia" w:ascii="仿宋" w:hAnsi="仿宋" w:eastAsia="仿宋" w:cs="仿宋"/>
          <w:sz w:val="28"/>
          <w:szCs w:val="28"/>
          <w:highlight w:val="none"/>
          <w:lang w:eastAsia="zh-CN"/>
        </w:rPr>
        <w:t>综合交通枢纽工程</w:t>
      </w:r>
      <w:r>
        <w:rPr>
          <w:rFonts w:hint="eastAsia" w:ascii="仿宋" w:hAnsi="仿宋" w:eastAsia="仿宋" w:cs="仿宋"/>
          <w:sz w:val="28"/>
          <w:szCs w:val="28"/>
          <w:highlight w:val="none"/>
        </w:rPr>
        <w:t>立项（代可研）报告编制工作，为一体化统筹推进配套项目研究，</w:t>
      </w:r>
      <w:r>
        <w:rPr>
          <w:rFonts w:hint="eastAsia" w:ascii="仿宋" w:hAnsi="仿宋" w:eastAsia="仿宋" w:cs="仿宋"/>
          <w:sz w:val="28"/>
          <w:szCs w:val="28"/>
          <w:highlight w:val="none"/>
          <w:lang w:eastAsia="zh-CN"/>
        </w:rPr>
        <w:t>满足新机场工程预可研、可研、总规报告审批过程中防洪排涝的要求</w:t>
      </w:r>
      <w:r>
        <w:rPr>
          <w:rFonts w:hint="eastAsia" w:ascii="仿宋" w:hAnsi="仿宋" w:eastAsia="仿宋" w:cs="仿宋"/>
          <w:sz w:val="28"/>
          <w:szCs w:val="28"/>
          <w:highlight w:val="none"/>
        </w:rPr>
        <w:t>，现开展重庆新机场</w:t>
      </w:r>
      <w:r>
        <w:rPr>
          <w:rFonts w:hint="eastAsia" w:ascii="仿宋" w:hAnsi="仿宋" w:eastAsia="仿宋" w:cs="仿宋"/>
          <w:sz w:val="28"/>
          <w:szCs w:val="28"/>
          <w:highlight w:val="none"/>
          <w:lang w:eastAsia="zh-CN"/>
        </w:rPr>
        <w:t>防洪专项研究</w:t>
      </w:r>
      <w:r>
        <w:rPr>
          <w:rFonts w:hint="eastAsia" w:ascii="仿宋" w:hAnsi="仿宋" w:eastAsia="仿宋" w:cs="仿宋"/>
          <w:sz w:val="28"/>
          <w:szCs w:val="28"/>
          <w:highlight w:val="none"/>
        </w:rPr>
        <w:t>工作。</w:t>
      </w:r>
    </w:p>
    <w:p>
      <w:pPr>
        <w:pStyle w:val="17"/>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 咨询内容：</w:t>
      </w:r>
    </w:p>
    <w:p>
      <w:pPr>
        <w:pStyle w:val="17"/>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（1）为保证河道正常行洪需求、河势稳定和生态环境健康协调，结合重庆新机场建设项目情况，开展重庆新机场</w:t>
      </w:r>
      <w:r>
        <w:rPr>
          <w:rFonts w:hint="eastAsia" w:ascii="仿宋" w:hAnsi="仿宋" w:eastAsia="仿宋" w:cs="仿宋"/>
          <w:sz w:val="28"/>
          <w:szCs w:val="28"/>
          <w:highlight w:val="none"/>
          <w:lang w:eastAsia="zh-CN"/>
        </w:rPr>
        <w:t>防洪专项研究</w:t>
      </w:r>
      <w:r>
        <w:rPr>
          <w:rFonts w:hint="eastAsia" w:ascii="仿宋" w:hAnsi="仿宋" w:eastAsia="仿宋" w:cs="仿宋"/>
          <w:sz w:val="28"/>
          <w:szCs w:val="28"/>
          <w:highlight w:val="none"/>
        </w:rPr>
        <w:t>工作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对重庆新机场近期和远期工程进行区分，调查水系现状、开展水文分析、规划总体布局、设计涉河方案，与重庆新机场预可研、可研、总规报告编制和</w:t>
      </w:r>
      <w:r>
        <w:rPr>
          <w:rFonts w:hint="eastAsia" w:ascii="仿宋" w:hAnsi="仿宋" w:eastAsia="仿宋" w:cs="仿宋"/>
          <w:sz w:val="28"/>
          <w:szCs w:val="28"/>
          <w:highlight w:val="none"/>
          <w:lang w:eastAsia="zh-CN"/>
        </w:rPr>
        <w:t>综合交通枢纽工程</w:t>
      </w:r>
      <w:r>
        <w:rPr>
          <w:rFonts w:hint="eastAsia" w:ascii="仿宋" w:hAnsi="仿宋" w:eastAsia="仿宋" w:cs="仿宋"/>
          <w:sz w:val="28"/>
          <w:szCs w:val="28"/>
          <w:highlight w:val="none"/>
        </w:rPr>
        <w:t>立项（代可研）报告编制进行协调配合，确定初步治理方案，以及其他需要配合研究的内容，包括但不限于场区标高、防洪措施、调蓄水池规划等。</w:t>
      </w:r>
      <w:r>
        <w:rPr>
          <w:rFonts w:hint="eastAsia" w:ascii="仿宋" w:hAnsi="仿宋" w:eastAsia="仿宋" w:cs="仿宋"/>
          <w:sz w:val="28"/>
          <w:szCs w:val="28"/>
          <w:highlight w:val="none"/>
          <w:lang w:eastAsia="zh-CN"/>
        </w:rPr>
        <w:t>防洪专项研究</w:t>
      </w:r>
      <w:r>
        <w:rPr>
          <w:rFonts w:hint="eastAsia" w:ascii="仿宋" w:hAnsi="仿宋" w:eastAsia="仿宋" w:cs="仿宋"/>
          <w:sz w:val="28"/>
          <w:szCs w:val="28"/>
          <w:highlight w:val="none"/>
        </w:rPr>
        <w:t>范围应包含</w:t>
      </w:r>
      <w:r>
        <w:rPr>
          <w:rFonts w:hint="eastAsia" w:ascii="仿宋" w:hAnsi="仿宋" w:eastAsia="仿宋" w:cs="仿宋"/>
          <w:color w:val="000000"/>
          <w:sz w:val="28"/>
          <w:szCs w:val="28"/>
          <w:highlight w:val="none"/>
          <w:u w:val="none"/>
          <w:lang w:eastAsia="zh-CN"/>
        </w:rPr>
        <w:t>重庆新机场规划红线区域（约</w:t>
      </w:r>
      <w:r>
        <w:rPr>
          <w:rFonts w:hint="eastAsia" w:ascii="仿宋" w:hAnsi="仿宋" w:eastAsia="仿宋" w:cs="仿宋"/>
          <w:color w:val="000000"/>
          <w:sz w:val="28"/>
          <w:szCs w:val="28"/>
          <w:highlight w:val="none"/>
          <w:u w:val="none"/>
          <w:lang w:val="en-US" w:eastAsia="zh-CN"/>
        </w:rPr>
        <w:t>37km²，以下简称远期）和其中包含的一期建设区域（约21km²，以下简称近期）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以及</w:t>
      </w:r>
      <w:r>
        <w:rPr>
          <w:rFonts w:hint="eastAsia" w:ascii="仿宋" w:hAnsi="仿宋" w:eastAsia="仿宋" w:cs="仿宋"/>
          <w:sz w:val="28"/>
          <w:szCs w:val="28"/>
          <w:highlight w:val="none"/>
        </w:rPr>
        <w:t>工程可能影响的场区外流域或区域</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u w:val="none"/>
          <w:lang w:eastAsia="zh-CN"/>
        </w:rPr>
        <w:t>其中近期规划应基于远期规划的研究成果开展</w:t>
      </w:r>
      <w:r>
        <w:rPr>
          <w:rFonts w:hint="eastAsia" w:ascii="仿宋" w:hAnsi="仿宋" w:eastAsia="仿宋" w:cs="仿宋"/>
          <w:sz w:val="28"/>
          <w:szCs w:val="28"/>
          <w:highlight w:val="none"/>
        </w:rPr>
        <w:t>。</w:t>
      </w:r>
    </w:p>
    <w:p>
      <w:pPr>
        <w:pStyle w:val="17"/>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防洪专项研究</w:t>
      </w:r>
      <w:r>
        <w:rPr>
          <w:rFonts w:hint="eastAsia" w:ascii="仿宋" w:hAnsi="仿宋" w:eastAsia="仿宋" w:cs="仿宋"/>
          <w:sz w:val="28"/>
          <w:szCs w:val="28"/>
          <w:highlight w:val="none"/>
        </w:rPr>
        <w:t>成果应满足行业要求和设计、建设需要，经</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行业内专家评审通过，同时配合完成与本项目相关的后续支持服务，包括但不限于为重庆新机场</w:t>
      </w:r>
      <w:r>
        <w:rPr>
          <w:rFonts w:hint="eastAsia" w:ascii="仿宋" w:hAnsi="仿宋" w:eastAsia="仿宋" w:cs="仿宋"/>
          <w:sz w:val="28"/>
          <w:szCs w:val="28"/>
          <w:highlight w:val="none"/>
          <w:lang w:eastAsia="zh-CN"/>
        </w:rPr>
        <w:t>预可研、可研、总规报告审批、</w:t>
      </w:r>
      <w:r>
        <w:rPr>
          <w:rFonts w:hint="eastAsia" w:ascii="仿宋" w:hAnsi="仿宋" w:eastAsia="仿宋" w:cs="仿宋"/>
          <w:sz w:val="28"/>
          <w:szCs w:val="28"/>
          <w:highlight w:val="none"/>
        </w:rPr>
        <w:t>后续洪水影响评价评审通过提供技术支持，根据招标人的合理要求免费进行相关汇报及成果更新、提出建议等。</w:t>
      </w:r>
    </w:p>
    <w:p>
      <w:pPr>
        <w:pStyle w:val="17"/>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 技术要求：</w:t>
      </w:r>
    </w:p>
    <w:p>
      <w:pPr>
        <w:pStyle w:val="17"/>
        <w:snapToGrid w:val="0"/>
        <w:spacing w:line="360" w:lineRule="auto"/>
        <w:ind w:firstLine="560" w:firstLineChars="200"/>
        <w:rPr>
          <w:rFonts w:hint="eastAsia"/>
          <w:highlight w:val="none"/>
        </w:rPr>
      </w:pPr>
      <w:r>
        <w:rPr>
          <w:rFonts w:hint="eastAsia" w:ascii="仿宋" w:hAnsi="仿宋" w:eastAsia="仿宋" w:cs="仿宋"/>
          <w:sz w:val="28"/>
          <w:szCs w:val="28"/>
          <w:highlight w:val="none"/>
        </w:rPr>
        <w:t>本项目的服务过程和成果均必须符合中华人民共和国、项目所在(省/市/自治区)的法律法规和标准，水利部及其他相关部门颁布的相关标准、规范、规程、规定、导则、办法、示例等文件，同时满足重庆新机场预可研、可研、总规报告编制</w:t>
      </w:r>
      <w:r>
        <w:rPr>
          <w:rFonts w:hint="eastAsia" w:ascii="仿宋" w:hAnsi="仿宋" w:eastAsia="仿宋" w:cs="仿宋"/>
          <w:sz w:val="28"/>
          <w:szCs w:val="28"/>
          <w:highlight w:val="none"/>
          <w:lang w:eastAsia="zh-CN"/>
        </w:rPr>
        <w:t>、审批</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综合交通枢纽工程</w:t>
      </w:r>
      <w:r>
        <w:rPr>
          <w:rFonts w:hint="eastAsia" w:ascii="仿宋" w:hAnsi="仿宋" w:eastAsia="仿宋" w:cs="仿宋"/>
          <w:sz w:val="28"/>
          <w:szCs w:val="28"/>
          <w:highlight w:val="none"/>
        </w:rPr>
        <w:t>立项（代可研）报告编制的相关需求</w:t>
      </w:r>
      <w:r>
        <w:rPr>
          <w:rFonts w:hint="eastAsia" w:ascii="仿宋" w:hAnsi="仿宋" w:eastAsia="仿宋" w:cs="仿宋"/>
          <w:sz w:val="28"/>
          <w:szCs w:val="28"/>
          <w:highlight w:val="none"/>
          <w:lang w:eastAsia="zh-CN"/>
        </w:rPr>
        <w:t>，以及设计、建设需要</w:t>
      </w:r>
      <w:r>
        <w:rPr>
          <w:rFonts w:hint="eastAsia" w:ascii="仿宋" w:hAnsi="仿宋" w:eastAsia="仿宋" w:cs="仿宋"/>
          <w:sz w:val="28"/>
          <w:szCs w:val="28"/>
          <w:highlight w:val="none"/>
        </w:rPr>
        <w:t>。工作深度应满足国家和重庆市相关政策，按照招标文件要求开展编制工作。在服务过程中，如果颁布新的规范或标准，则执行新规范或标准。</w:t>
      </w:r>
    </w:p>
    <w:p>
      <w:pPr>
        <w:spacing w:line="520" w:lineRule="exact"/>
        <w:ind w:firstLine="562" w:firstLineChars="200"/>
        <w:rPr>
          <w:rFonts w:ascii="黑体" w:hAnsi="黑体" w:eastAsia="黑体" w:cs="黑体"/>
          <w:b/>
          <w:sz w:val="28"/>
          <w:szCs w:val="28"/>
          <w:highlight w:val="none"/>
        </w:rPr>
      </w:pPr>
      <w:r>
        <w:rPr>
          <w:rFonts w:hint="eastAsia" w:ascii="黑体" w:hAnsi="黑体" w:eastAsia="黑体" w:cs="黑体"/>
          <w:b/>
          <w:sz w:val="28"/>
          <w:szCs w:val="28"/>
          <w:highlight w:val="none"/>
        </w:rPr>
        <w:t>第二条  服务期限</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 自甲方正式书面通知之日起，</w:t>
      </w:r>
      <w:r>
        <w:rPr>
          <w:rFonts w:hint="eastAsia" w:ascii="仿宋" w:hAnsi="仿宋" w:eastAsia="仿宋" w:cs="仿宋"/>
          <w:sz w:val="28"/>
          <w:szCs w:val="28"/>
          <w:highlight w:val="none"/>
          <w:lang w:eastAsia="zh-CN"/>
        </w:rPr>
        <w:t>80个日历天</w:t>
      </w:r>
      <w:r>
        <w:rPr>
          <w:rFonts w:hint="eastAsia" w:ascii="仿宋" w:hAnsi="仿宋" w:eastAsia="仿宋" w:cs="仿宋"/>
          <w:sz w:val="28"/>
          <w:szCs w:val="28"/>
          <w:highlight w:val="none"/>
        </w:rPr>
        <w:t>内完成</w:t>
      </w:r>
      <w:r>
        <w:rPr>
          <w:rFonts w:hint="eastAsia" w:ascii="仿宋" w:hAnsi="仿宋" w:eastAsia="仿宋" w:cs="仿宋"/>
          <w:sz w:val="28"/>
          <w:szCs w:val="28"/>
          <w:highlight w:val="none"/>
          <w:lang w:eastAsia="zh-CN"/>
        </w:rPr>
        <w:t>防洪专项研究</w:t>
      </w:r>
      <w:r>
        <w:rPr>
          <w:rFonts w:hint="eastAsia" w:ascii="仿宋" w:hAnsi="仿宋" w:eastAsia="仿宋" w:cs="仿宋"/>
          <w:sz w:val="28"/>
          <w:szCs w:val="28"/>
          <w:highlight w:val="none"/>
        </w:rPr>
        <w:t>工作报告，经</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审核后，及时上报并通过</w:t>
      </w:r>
      <w:r>
        <w:rPr>
          <w:rFonts w:hint="eastAsia" w:ascii="仿宋" w:hAnsi="仿宋" w:eastAsia="仿宋" w:cs="仿宋"/>
          <w:sz w:val="28"/>
          <w:szCs w:val="28"/>
          <w:highlight w:val="none"/>
          <w:lang w:eastAsia="zh-CN"/>
        </w:rPr>
        <w:t>行业内专家</w:t>
      </w:r>
      <w:r>
        <w:rPr>
          <w:rFonts w:hint="eastAsia" w:ascii="仿宋" w:hAnsi="仿宋" w:eastAsia="仿宋" w:cs="仿宋"/>
          <w:sz w:val="28"/>
          <w:szCs w:val="28"/>
          <w:highlight w:val="none"/>
        </w:rPr>
        <w:t>评审</w:t>
      </w:r>
      <w:r>
        <w:rPr>
          <w:rFonts w:hint="eastAsia" w:ascii="仿宋" w:hAnsi="仿宋" w:eastAsia="仿宋" w:cs="仿宋"/>
          <w:sz w:val="28"/>
          <w:szCs w:val="28"/>
          <w:highlight w:val="none"/>
          <w:lang w:eastAsia="zh-CN"/>
        </w:rPr>
        <w:t>认可，</w:t>
      </w:r>
      <w:r>
        <w:rPr>
          <w:rFonts w:hint="eastAsia" w:ascii="仿宋" w:hAnsi="仿宋" w:eastAsia="仿宋" w:cs="仿宋"/>
          <w:color w:val="auto"/>
          <w:sz w:val="28"/>
          <w:szCs w:val="28"/>
          <w:highlight w:val="none"/>
        </w:rPr>
        <w:t>并满足</w:t>
      </w:r>
      <w:r>
        <w:rPr>
          <w:rFonts w:hint="eastAsia" w:ascii="仿宋" w:hAnsi="仿宋" w:eastAsia="仿宋" w:cs="仿宋"/>
          <w:color w:val="auto"/>
          <w:sz w:val="28"/>
          <w:szCs w:val="28"/>
          <w:highlight w:val="none"/>
          <w:lang w:eastAsia="zh-CN"/>
        </w:rPr>
        <w:t>新</w:t>
      </w:r>
      <w:r>
        <w:rPr>
          <w:rFonts w:hint="eastAsia" w:ascii="仿宋" w:hAnsi="仿宋" w:eastAsia="仿宋" w:cs="仿宋"/>
          <w:color w:val="auto"/>
          <w:sz w:val="28"/>
          <w:szCs w:val="28"/>
          <w:highlight w:val="none"/>
        </w:rPr>
        <w:t>机场工程预可研、可研、总规报告审批过程中机场防洪排涝的要求</w:t>
      </w:r>
      <w:r>
        <w:rPr>
          <w:rFonts w:hint="eastAsia" w:ascii="仿宋" w:hAnsi="仿宋" w:eastAsia="仿宋" w:cs="仿宋"/>
          <w:sz w:val="28"/>
          <w:szCs w:val="28"/>
          <w:highlight w:val="none"/>
        </w:rPr>
        <w:t>。</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 与本项目相关的后续支持服务工作具体时间以甲方通知为准。</w:t>
      </w:r>
    </w:p>
    <w:p>
      <w:pPr>
        <w:snapToGrid w:val="0"/>
        <w:spacing w:line="520" w:lineRule="exact"/>
        <w:ind w:firstLine="562" w:firstLineChars="200"/>
        <w:rPr>
          <w:rFonts w:ascii="黑体" w:hAnsi="黑体" w:eastAsia="黑体" w:cs="黑体"/>
          <w:sz w:val="28"/>
          <w:szCs w:val="28"/>
          <w:highlight w:val="none"/>
        </w:rPr>
      </w:pPr>
      <w:r>
        <w:rPr>
          <w:rFonts w:hint="eastAsia" w:ascii="黑体" w:hAnsi="黑体" w:eastAsia="黑体" w:cs="黑体"/>
          <w:b/>
          <w:sz w:val="28"/>
          <w:szCs w:val="28"/>
          <w:highlight w:val="none"/>
        </w:rPr>
        <w:t>第三条</w:t>
      </w:r>
      <w:r>
        <w:rPr>
          <w:rFonts w:hint="eastAsia" w:ascii="黑体" w:hAnsi="黑体" w:eastAsia="黑体" w:cs="黑体"/>
          <w:sz w:val="28"/>
          <w:szCs w:val="28"/>
          <w:highlight w:val="none"/>
        </w:rPr>
        <w:t xml:space="preserve">  </w:t>
      </w:r>
      <w:r>
        <w:rPr>
          <w:rFonts w:hint="eastAsia" w:ascii="黑体" w:hAnsi="黑体" w:eastAsia="黑体" w:cs="黑体"/>
          <w:b/>
          <w:bCs/>
          <w:sz w:val="28"/>
          <w:szCs w:val="28"/>
          <w:highlight w:val="none"/>
        </w:rPr>
        <w:t>咨询工作成果</w:t>
      </w:r>
    </w:p>
    <w:p>
      <w:pPr>
        <w:snapToGrid w:val="0"/>
        <w:spacing w:line="52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3.1 乙方提交咨询工作成果及形式：</w:t>
      </w:r>
    </w:p>
    <w:p>
      <w:pPr>
        <w:snapToGrid w:val="0"/>
        <w:spacing w:line="52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重庆新机场</w:t>
      </w:r>
      <w:r>
        <w:rPr>
          <w:rFonts w:hint="eastAsia" w:ascii="仿宋" w:hAnsi="仿宋" w:eastAsia="仿宋" w:cs="仿宋"/>
          <w:sz w:val="28"/>
          <w:szCs w:val="28"/>
          <w:highlight w:val="none"/>
          <w:u w:val="single"/>
          <w:lang w:eastAsia="zh-CN"/>
        </w:rPr>
        <w:t>防洪专项研究</w:t>
      </w:r>
      <w:r>
        <w:rPr>
          <w:rFonts w:hint="eastAsia" w:ascii="仿宋" w:hAnsi="仿宋" w:eastAsia="仿宋" w:cs="仿宋"/>
          <w:sz w:val="28"/>
          <w:szCs w:val="28"/>
          <w:highlight w:val="none"/>
          <w:u w:val="single"/>
        </w:rPr>
        <w:t>报告及相关附表、附图、</w:t>
      </w:r>
      <w:r>
        <w:rPr>
          <w:rFonts w:hint="eastAsia" w:ascii="仿宋" w:hAnsi="仿宋" w:eastAsia="仿宋" w:cs="仿宋"/>
          <w:sz w:val="28"/>
          <w:szCs w:val="28"/>
          <w:highlight w:val="none"/>
          <w:u w:val="single"/>
          <w:lang w:eastAsia="zh-CN"/>
        </w:rPr>
        <w:t>专家评审</w:t>
      </w:r>
      <w:r>
        <w:rPr>
          <w:rFonts w:hint="eastAsia" w:ascii="仿宋" w:hAnsi="仿宋" w:eastAsia="仿宋" w:cs="仿宋"/>
          <w:sz w:val="28"/>
          <w:szCs w:val="28"/>
          <w:highlight w:val="none"/>
          <w:u w:val="single"/>
        </w:rPr>
        <w:t>意见等</w:t>
      </w:r>
      <w:r>
        <w:rPr>
          <w:rFonts w:hint="eastAsia" w:ascii="仿宋" w:hAnsi="仿宋" w:eastAsia="仿宋" w:cs="仿宋"/>
          <w:sz w:val="28"/>
          <w:szCs w:val="28"/>
          <w:highlight w:val="none"/>
          <w:u w:val="single"/>
          <w:lang w:eastAsia="zh-CN"/>
        </w:rPr>
        <w:t>与本项目有关的</w:t>
      </w:r>
      <w:r>
        <w:rPr>
          <w:rFonts w:hint="eastAsia" w:ascii="仿宋" w:hAnsi="仿宋" w:eastAsia="仿宋" w:cs="仿宋"/>
          <w:sz w:val="28"/>
          <w:szCs w:val="28"/>
          <w:highlight w:val="none"/>
          <w:u w:val="single"/>
        </w:rPr>
        <w:t>全套资料，纸质版6套，电子版1套。纸质版数量根据甲方实际需求可适量增减。</w:t>
      </w:r>
    </w:p>
    <w:p>
      <w:pPr>
        <w:snapToGrid w:val="0"/>
        <w:spacing w:line="52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3.2 咨询工作成果的验收标准：</w:t>
      </w:r>
    </w:p>
    <w:p>
      <w:pPr>
        <w:snapToGrid w:val="0"/>
        <w:spacing w:line="52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按甲方要求，</w:t>
      </w:r>
      <w:r>
        <w:rPr>
          <w:rFonts w:hint="eastAsia" w:ascii="仿宋" w:hAnsi="仿宋" w:eastAsia="仿宋" w:cs="仿宋"/>
          <w:sz w:val="28"/>
          <w:szCs w:val="28"/>
          <w:highlight w:val="none"/>
          <w:u w:val="single"/>
          <w:lang w:eastAsia="zh-CN"/>
        </w:rPr>
        <w:t>结合</w:t>
      </w:r>
      <w:r>
        <w:rPr>
          <w:rFonts w:hint="eastAsia" w:ascii="仿宋" w:hAnsi="仿宋" w:eastAsia="仿宋" w:cs="仿宋"/>
          <w:sz w:val="28"/>
          <w:szCs w:val="28"/>
          <w:highlight w:val="none"/>
          <w:u w:val="single"/>
        </w:rPr>
        <w:t>重庆新机场预可研、可研、总规报告编制</w:t>
      </w:r>
      <w:r>
        <w:rPr>
          <w:rFonts w:hint="eastAsia" w:ascii="仿宋" w:hAnsi="仿宋" w:eastAsia="仿宋" w:cs="仿宋"/>
          <w:sz w:val="28"/>
          <w:szCs w:val="28"/>
          <w:highlight w:val="none"/>
          <w:u w:val="single"/>
          <w:lang w:eastAsia="zh-CN"/>
        </w:rPr>
        <w:t>、审批</w:t>
      </w:r>
      <w:r>
        <w:rPr>
          <w:rFonts w:hint="eastAsia" w:ascii="仿宋" w:hAnsi="仿宋" w:eastAsia="仿宋" w:cs="仿宋"/>
          <w:sz w:val="28"/>
          <w:szCs w:val="28"/>
          <w:highlight w:val="none"/>
          <w:u w:val="single"/>
        </w:rPr>
        <w:t>和</w:t>
      </w:r>
      <w:r>
        <w:rPr>
          <w:rFonts w:hint="eastAsia" w:ascii="仿宋" w:hAnsi="仿宋" w:eastAsia="仿宋" w:cs="仿宋"/>
          <w:sz w:val="28"/>
          <w:szCs w:val="28"/>
          <w:highlight w:val="none"/>
          <w:u w:val="single"/>
          <w:lang w:eastAsia="zh-CN"/>
        </w:rPr>
        <w:t>综合交通枢纽工程</w:t>
      </w:r>
      <w:r>
        <w:rPr>
          <w:rFonts w:hint="eastAsia" w:ascii="仿宋" w:hAnsi="仿宋" w:eastAsia="仿宋" w:cs="仿宋"/>
          <w:sz w:val="28"/>
          <w:szCs w:val="28"/>
          <w:highlight w:val="none"/>
          <w:u w:val="single"/>
        </w:rPr>
        <w:t>立项（代可研）报告编制</w:t>
      </w:r>
      <w:r>
        <w:rPr>
          <w:rFonts w:hint="eastAsia" w:ascii="仿宋" w:hAnsi="仿宋" w:eastAsia="仿宋" w:cs="仿宋"/>
          <w:sz w:val="28"/>
          <w:szCs w:val="28"/>
          <w:highlight w:val="none"/>
          <w:u w:val="single"/>
          <w:lang w:eastAsia="zh-CN"/>
        </w:rPr>
        <w:t>需求，</w:t>
      </w:r>
      <w:r>
        <w:rPr>
          <w:rFonts w:hint="eastAsia" w:ascii="仿宋" w:hAnsi="仿宋" w:eastAsia="仿宋" w:cs="仿宋"/>
          <w:sz w:val="28"/>
          <w:szCs w:val="28"/>
          <w:highlight w:val="none"/>
          <w:u w:val="single"/>
        </w:rPr>
        <w:t>完成重庆新机场</w:t>
      </w:r>
      <w:r>
        <w:rPr>
          <w:rFonts w:hint="eastAsia" w:ascii="仿宋" w:hAnsi="仿宋" w:eastAsia="仿宋" w:cs="仿宋"/>
          <w:sz w:val="28"/>
          <w:szCs w:val="28"/>
          <w:highlight w:val="none"/>
          <w:u w:val="single"/>
          <w:lang w:eastAsia="zh-CN"/>
        </w:rPr>
        <w:t>防洪专项研究</w:t>
      </w:r>
      <w:r>
        <w:rPr>
          <w:rFonts w:hint="eastAsia" w:ascii="仿宋" w:hAnsi="仿宋" w:eastAsia="仿宋" w:cs="仿宋"/>
          <w:sz w:val="28"/>
          <w:szCs w:val="28"/>
          <w:highlight w:val="none"/>
          <w:u w:val="single"/>
        </w:rPr>
        <w:t>工作，提供正式的</w:t>
      </w:r>
      <w:r>
        <w:rPr>
          <w:rFonts w:hint="eastAsia" w:ascii="仿宋" w:hAnsi="仿宋" w:eastAsia="仿宋" w:cs="仿宋"/>
          <w:sz w:val="28"/>
          <w:szCs w:val="28"/>
          <w:highlight w:val="none"/>
          <w:u w:val="single"/>
          <w:lang w:eastAsia="zh-CN"/>
        </w:rPr>
        <w:t>防洪专项研究</w:t>
      </w:r>
      <w:r>
        <w:rPr>
          <w:rFonts w:hint="eastAsia" w:ascii="仿宋" w:hAnsi="仿宋" w:eastAsia="仿宋" w:cs="仿宋"/>
          <w:sz w:val="28"/>
          <w:szCs w:val="28"/>
          <w:highlight w:val="none"/>
          <w:u w:val="single"/>
        </w:rPr>
        <w:t>报告，并通过</w:t>
      </w:r>
      <w:r>
        <w:rPr>
          <w:rFonts w:hint="eastAsia" w:ascii="仿宋" w:hAnsi="仿宋" w:eastAsia="仿宋" w:cs="仿宋"/>
          <w:sz w:val="28"/>
          <w:szCs w:val="28"/>
          <w:highlight w:val="none"/>
          <w:u w:val="single"/>
          <w:lang w:eastAsia="zh-CN"/>
        </w:rPr>
        <w:t>行业内专家</w:t>
      </w:r>
      <w:r>
        <w:rPr>
          <w:rFonts w:hint="eastAsia" w:ascii="仿宋" w:hAnsi="仿宋" w:eastAsia="仿宋" w:cs="仿宋"/>
          <w:sz w:val="28"/>
          <w:szCs w:val="28"/>
          <w:highlight w:val="none"/>
          <w:u w:val="single"/>
        </w:rPr>
        <w:t>评审</w:t>
      </w:r>
      <w:r>
        <w:rPr>
          <w:rFonts w:hint="eastAsia" w:ascii="仿宋" w:hAnsi="仿宋" w:eastAsia="仿宋" w:cs="仿宋"/>
          <w:sz w:val="28"/>
          <w:szCs w:val="28"/>
          <w:highlight w:val="none"/>
          <w:u w:val="single"/>
          <w:lang w:eastAsia="zh-CN"/>
        </w:rPr>
        <w:t>认可</w:t>
      </w:r>
      <w:r>
        <w:rPr>
          <w:rFonts w:hint="eastAsia" w:ascii="仿宋" w:hAnsi="仿宋" w:eastAsia="仿宋" w:cs="仿宋"/>
          <w:sz w:val="28"/>
          <w:szCs w:val="28"/>
          <w:highlight w:val="none"/>
          <w:u w:val="single"/>
        </w:rPr>
        <w:t>，提供完整的全套资料及完善的后续支持服务</w:t>
      </w:r>
      <w:r>
        <w:rPr>
          <w:rFonts w:hint="eastAsia" w:ascii="仿宋" w:hAnsi="仿宋" w:eastAsia="仿宋" w:cs="仿宋"/>
          <w:sz w:val="28"/>
          <w:szCs w:val="28"/>
          <w:highlight w:val="none"/>
          <w:u w:val="single"/>
          <w:lang w:eastAsia="zh-CN"/>
        </w:rPr>
        <w:t>，包括但不限于为重庆新机场预可研、可研、总规报告审批、后续洪水影响评价评审通过提供技术支持，根据招标人的合理要求免费进行相关汇报及成果更新、提出建议等。</w:t>
      </w:r>
    </w:p>
    <w:p>
      <w:pPr>
        <w:snapToGrid w:val="0"/>
        <w:spacing w:line="52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3.3 咨询工作成果的验收方法：</w:t>
      </w:r>
    </w:p>
    <w:p>
      <w:pPr>
        <w:snapToGrid w:val="0"/>
        <w:spacing w:line="52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阶段及最终成果验收结果以甲方审核、</w:t>
      </w:r>
      <w:r>
        <w:rPr>
          <w:rFonts w:hint="eastAsia" w:ascii="仿宋" w:hAnsi="仿宋" w:eastAsia="仿宋" w:cs="仿宋"/>
          <w:sz w:val="28"/>
          <w:szCs w:val="28"/>
          <w:highlight w:val="none"/>
          <w:u w:val="single"/>
          <w:lang w:eastAsia="zh-CN"/>
        </w:rPr>
        <w:t>行业内专家</w:t>
      </w:r>
      <w:r>
        <w:rPr>
          <w:rFonts w:hint="eastAsia" w:ascii="仿宋" w:hAnsi="仿宋" w:eastAsia="仿宋" w:cs="仿宋"/>
          <w:sz w:val="28"/>
          <w:szCs w:val="28"/>
          <w:highlight w:val="none"/>
          <w:u w:val="single"/>
        </w:rPr>
        <w:t>评审结果为准。因甲方延期验收的，验收时间以甲方通知为准。</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3.4 验收的时间：</w:t>
      </w:r>
    </w:p>
    <w:p>
      <w:pPr>
        <w:snapToGrid w:val="0"/>
        <w:spacing w:before="0" w:beforeLines="-2147483648" w:line="520" w:lineRule="exact"/>
        <w:ind w:firstLine="560" w:firstLineChars="200"/>
        <w:rPr>
          <w:rFonts w:hint="eastAsia" w:ascii="宋体" w:hAnsi="宋体"/>
          <w:b/>
          <w:sz w:val="24"/>
          <w:szCs w:val="24"/>
          <w:highlight w:val="none"/>
        </w:rPr>
      </w:pPr>
      <w:r>
        <w:rPr>
          <w:rFonts w:hint="eastAsia" w:ascii="仿宋" w:hAnsi="仿宋" w:eastAsia="仿宋" w:cs="仿宋"/>
          <w:sz w:val="28"/>
          <w:szCs w:val="28"/>
          <w:highlight w:val="none"/>
          <w:u w:val="single"/>
        </w:rPr>
        <w:t>阶段及最终成果验收的时间均为通过</w:t>
      </w:r>
      <w:r>
        <w:rPr>
          <w:rFonts w:hint="eastAsia" w:ascii="仿宋" w:hAnsi="仿宋" w:eastAsia="仿宋" w:cs="仿宋"/>
          <w:sz w:val="28"/>
          <w:szCs w:val="28"/>
          <w:highlight w:val="none"/>
          <w:u w:val="single"/>
          <w:lang w:eastAsia="zh-CN"/>
        </w:rPr>
        <w:t>行业内专家</w:t>
      </w:r>
      <w:r>
        <w:rPr>
          <w:rFonts w:hint="eastAsia" w:ascii="仿宋" w:hAnsi="仿宋" w:eastAsia="仿宋" w:cs="仿宋"/>
          <w:sz w:val="28"/>
          <w:szCs w:val="28"/>
          <w:highlight w:val="none"/>
          <w:u w:val="single"/>
        </w:rPr>
        <w:t>评审，并取得相应审查</w:t>
      </w:r>
      <w:r>
        <w:rPr>
          <w:rFonts w:hint="eastAsia" w:ascii="仿宋" w:hAnsi="仿宋" w:eastAsia="仿宋" w:cs="仿宋"/>
          <w:sz w:val="28"/>
          <w:szCs w:val="28"/>
          <w:highlight w:val="none"/>
          <w:u w:val="single"/>
          <w:lang w:eastAsia="zh-CN"/>
        </w:rPr>
        <w:t>认可</w:t>
      </w:r>
      <w:r>
        <w:rPr>
          <w:rFonts w:hint="eastAsia" w:ascii="仿宋" w:hAnsi="仿宋" w:eastAsia="仿宋" w:cs="仿宋"/>
          <w:sz w:val="28"/>
          <w:szCs w:val="28"/>
          <w:highlight w:val="none"/>
          <w:u w:val="single"/>
        </w:rPr>
        <w:t xml:space="preserve">意见后。  </w:t>
      </w:r>
    </w:p>
    <w:p>
      <w:pPr>
        <w:spacing w:before="120" w:beforeLines="50" w:line="360" w:lineRule="auto"/>
        <w:rPr>
          <w:rFonts w:ascii="宋体" w:hAnsi="宋体"/>
          <w:b/>
          <w:sz w:val="24"/>
          <w:szCs w:val="24"/>
          <w:highlight w:val="none"/>
        </w:rPr>
      </w:pPr>
      <w:r>
        <w:rPr>
          <w:rFonts w:hint="eastAsia" w:ascii="宋体" w:hAnsi="宋体"/>
          <w:b/>
          <w:sz w:val="24"/>
          <w:szCs w:val="24"/>
          <w:highlight w:val="none"/>
        </w:rPr>
        <w:t>乙方应向甲方交付的报告、成果、文件：</w:t>
      </w:r>
    </w:p>
    <w:tbl>
      <w:tblPr>
        <w:tblStyle w:val="15"/>
        <w:tblW w:w="9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791"/>
        <w:gridCol w:w="1212"/>
        <w:gridCol w:w="162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07" w:type="dxa"/>
            <w:vAlign w:val="center"/>
          </w:tcPr>
          <w:p>
            <w:pPr>
              <w:jc w:val="center"/>
              <w:textAlignment w:val="center"/>
              <w:rPr>
                <w:rFonts w:ascii="宋体" w:hAnsi="宋体"/>
                <w:sz w:val="24"/>
                <w:szCs w:val="24"/>
                <w:highlight w:val="none"/>
              </w:rPr>
            </w:pPr>
            <w:r>
              <w:rPr>
                <w:rFonts w:hint="eastAsia" w:ascii="宋体" w:hAnsi="宋体"/>
                <w:sz w:val="24"/>
                <w:szCs w:val="24"/>
                <w:highlight w:val="none"/>
              </w:rPr>
              <w:t>序号</w:t>
            </w:r>
          </w:p>
        </w:tc>
        <w:tc>
          <w:tcPr>
            <w:tcW w:w="3791" w:type="dxa"/>
            <w:vAlign w:val="center"/>
          </w:tcPr>
          <w:p>
            <w:pPr>
              <w:jc w:val="center"/>
              <w:textAlignment w:val="center"/>
              <w:rPr>
                <w:rFonts w:ascii="宋体" w:hAnsi="宋体"/>
                <w:sz w:val="24"/>
                <w:szCs w:val="24"/>
                <w:highlight w:val="none"/>
              </w:rPr>
            </w:pPr>
            <w:r>
              <w:rPr>
                <w:rFonts w:hint="eastAsia" w:ascii="宋体" w:hAnsi="宋体"/>
                <w:sz w:val="24"/>
                <w:szCs w:val="24"/>
                <w:highlight w:val="none"/>
              </w:rPr>
              <w:t>报告、成果、文件名称</w:t>
            </w:r>
          </w:p>
        </w:tc>
        <w:tc>
          <w:tcPr>
            <w:tcW w:w="1212" w:type="dxa"/>
            <w:vAlign w:val="center"/>
          </w:tcPr>
          <w:p>
            <w:pPr>
              <w:jc w:val="center"/>
              <w:textAlignment w:val="center"/>
              <w:rPr>
                <w:rFonts w:ascii="宋体" w:hAnsi="宋体"/>
                <w:sz w:val="24"/>
                <w:szCs w:val="24"/>
                <w:highlight w:val="none"/>
              </w:rPr>
            </w:pPr>
            <w:r>
              <w:rPr>
                <w:rFonts w:hint="eastAsia" w:ascii="宋体" w:hAnsi="宋体"/>
                <w:sz w:val="24"/>
                <w:szCs w:val="24"/>
                <w:highlight w:val="none"/>
              </w:rPr>
              <w:t>份数</w:t>
            </w:r>
          </w:p>
        </w:tc>
        <w:tc>
          <w:tcPr>
            <w:tcW w:w="1627" w:type="dxa"/>
            <w:vAlign w:val="center"/>
          </w:tcPr>
          <w:p>
            <w:pPr>
              <w:jc w:val="center"/>
              <w:textAlignment w:val="center"/>
              <w:rPr>
                <w:rFonts w:ascii="宋体" w:hAnsi="宋体"/>
                <w:sz w:val="24"/>
                <w:szCs w:val="24"/>
                <w:highlight w:val="none"/>
              </w:rPr>
            </w:pPr>
            <w:r>
              <w:rPr>
                <w:rFonts w:hint="eastAsia" w:ascii="宋体" w:hAnsi="宋体"/>
                <w:sz w:val="24"/>
                <w:szCs w:val="24"/>
                <w:highlight w:val="none"/>
              </w:rPr>
              <w:t>内容要求</w:t>
            </w:r>
          </w:p>
        </w:tc>
        <w:tc>
          <w:tcPr>
            <w:tcW w:w="2268" w:type="dxa"/>
            <w:vAlign w:val="center"/>
          </w:tcPr>
          <w:p>
            <w:pPr>
              <w:jc w:val="center"/>
              <w:textAlignment w:val="center"/>
              <w:rPr>
                <w:rFonts w:ascii="宋体" w:hAnsi="宋体"/>
                <w:sz w:val="24"/>
                <w:szCs w:val="24"/>
                <w:highlight w:val="none"/>
              </w:rPr>
            </w:pPr>
            <w:r>
              <w:rPr>
                <w:rFonts w:hint="eastAsia" w:ascii="宋体" w:hAnsi="宋体"/>
                <w:sz w:val="24"/>
                <w:szCs w:val="24"/>
                <w:highlight w:val="none"/>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1007" w:type="dxa"/>
            <w:vAlign w:val="center"/>
          </w:tcPr>
          <w:p>
            <w:pPr>
              <w:jc w:val="center"/>
              <w:textAlignment w:val="center"/>
              <w:rPr>
                <w:rFonts w:ascii="宋体" w:hAnsi="宋体"/>
                <w:sz w:val="24"/>
                <w:szCs w:val="24"/>
                <w:highlight w:val="none"/>
              </w:rPr>
            </w:pPr>
            <w:r>
              <w:rPr>
                <w:rFonts w:hint="eastAsia" w:ascii="宋体" w:hAnsi="宋体"/>
                <w:sz w:val="24"/>
                <w:szCs w:val="24"/>
                <w:highlight w:val="none"/>
              </w:rPr>
              <w:t>1</w:t>
            </w:r>
          </w:p>
        </w:tc>
        <w:tc>
          <w:tcPr>
            <w:tcW w:w="3791" w:type="dxa"/>
            <w:vAlign w:val="center"/>
          </w:tcPr>
          <w:p>
            <w:pPr>
              <w:rPr>
                <w:highlight w:val="none"/>
              </w:rPr>
            </w:pPr>
            <w:r>
              <w:rPr>
                <w:rFonts w:hint="eastAsia" w:ascii="宋体" w:hAnsi="宋体"/>
                <w:sz w:val="24"/>
                <w:szCs w:val="24"/>
                <w:highlight w:val="none"/>
              </w:rPr>
              <w:t>重庆新机场</w:t>
            </w:r>
            <w:r>
              <w:rPr>
                <w:rFonts w:hint="eastAsia" w:ascii="宋体" w:hAnsi="宋体"/>
                <w:sz w:val="24"/>
                <w:szCs w:val="24"/>
                <w:highlight w:val="none"/>
                <w:lang w:eastAsia="zh-CN"/>
              </w:rPr>
              <w:t>防洪专项研究</w:t>
            </w:r>
            <w:r>
              <w:rPr>
                <w:rFonts w:hint="eastAsia" w:ascii="宋体" w:hAnsi="宋体"/>
                <w:sz w:val="24"/>
                <w:szCs w:val="24"/>
                <w:highlight w:val="none"/>
              </w:rPr>
              <w:t>报告及相关附表、附图、</w:t>
            </w:r>
            <w:r>
              <w:rPr>
                <w:rFonts w:hint="eastAsia" w:ascii="宋体" w:hAnsi="宋体"/>
                <w:sz w:val="24"/>
                <w:szCs w:val="24"/>
                <w:highlight w:val="none"/>
                <w:lang w:eastAsia="zh-CN"/>
              </w:rPr>
              <w:t>行业</w:t>
            </w:r>
          </w:p>
          <w:p>
            <w:pPr>
              <w:jc w:val="center"/>
              <w:textAlignment w:val="auto"/>
              <w:rPr>
                <w:rFonts w:hint="eastAsia" w:ascii="宋体" w:hAnsi="宋体"/>
                <w:sz w:val="24"/>
                <w:szCs w:val="24"/>
                <w:highlight w:val="none"/>
              </w:rPr>
            </w:pPr>
            <w:r>
              <w:rPr>
                <w:rFonts w:hint="eastAsia" w:ascii="宋体" w:hAnsi="宋体"/>
                <w:sz w:val="24"/>
                <w:szCs w:val="24"/>
                <w:highlight w:val="none"/>
                <w:lang w:eastAsia="zh-CN"/>
              </w:rPr>
              <w:t>内专家评审认可</w:t>
            </w:r>
            <w:r>
              <w:rPr>
                <w:rFonts w:hint="eastAsia" w:ascii="宋体" w:hAnsi="宋体"/>
                <w:sz w:val="24"/>
                <w:szCs w:val="24"/>
                <w:highlight w:val="none"/>
              </w:rPr>
              <w:t>意见</w:t>
            </w:r>
          </w:p>
        </w:tc>
        <w:tc>
          <w:tcPr>
            <w:tcW w:w="1212" w:type="dxa"/>
            <w:vAlign w:val="center"/>
          </w:tcPr>
          <w:p>
            <w:pPr>
              <w:jc w:val="center"/>
              <w:textAlignment w:val="center"/>
              <w:rPr>
                <w:rFonts w:ascii="宋体" w:hAnsi="宋体"/>
                <w:sz w:val="24"/>
                <w:szCs w:val="24"/>
                <w:highlight w:val="none"/>
              </w:rPr>
            </w:pPr>
            <w:r>
              <w:rPr>
                <w:rFonts w:hint="eastAsia" w:ascii="宋体" w:hAnsi="宋体"/>
                <w:sz w:val="24"/>
                <w:szCs w:val="24"/>
                <w:highlight w:val="none"/>
              </w:rPr>
              <w:t>纸质版6套，电子版1套</w:t>
            </w:r>
          </w:p>
        </w:tc>
        <w:tc>
          <w:tcPr>
            <w:tcW w:w="1627" w:type="dxa"/>
            <w:vAlign w:val="center"/>
          </w:tcPr>
          <w:p>
            <w:pPr>
              <w:jc w:val="center"/>
              <w:textAlignment w:val="center"/>
              <w:rPr>
                <w:rFonts w:hint="eastAsia" w:ascii="宋体" w:hAnsi="宋体"/>
                <w:sz w:val="24"/>
                <w:szCs w:val="24"/>
                <w:highlight w:val="none"/>
              </w:rPr>
            </w:pPr>
            <w:r>
              <w:rPr>
                <w:rFonts w:hint="eastAsia" w:ascii="宋体" w:hAnsi="宋体"/>
                <w:sz w:val="24"/>
                <w:szCs w:val="24"/>
                <w:highlight w:val="none"/>
              </w:rPr>
              <w:t>符合国家和地方政策、行业要求和</w:t>
            </w:r>
            <w:r>
              <w:rPr>
                <w:rFonts w:hint="eastAsia" w:ascii="宋体" w:hAnsi="宋体"/>
                <w:sz w:val="24"/>
                <w:szCs w:val="24"/>
                <w:highlight w:val="none"/>
                <w:lang w:eastAsia="zh-CN"/>
              </w:rPr>
              <w:t>新机场相关预可、可研、</w:t>
            </w:r>
            <w:r>
              <w:rPr>
                <w:rFonts w:hint="eastAsia" w:ascii="宋体" w:hAnsi="宋体"/>
                <w:sz w:val="24"/>
                <w:szCs w:val="24"/>
                <w:highlight w:val="none"/>
              </w:rPr>
              <w:t>设计、建设需要</w:t>
            </w:r>
          </w:p>
        </w:tc>
        <w:tc>
          <w:tcPr>
            <w:tcW w:w="2268" w:type="dxa"/>
            <w:vAlign w:val="center"/>
          </w:tcPr>
          <w:p>
            <w:pPr>
              <w:jc w:val="center"/>
              <w:textAlignment w:val="center"/>
              <w:rPr>
                <w:sz w:val="24"/>
                <w:szCs w:val="24"/>
                <w:highlight w:val="none"/>
              </w:rPr>
            </w:pPr>
            <w:r>
              <w:rPr>
                <w:rFonts w:hint="eastAsia" w:ascii="宋体" w:hAnsi="宋体"/>
                <w:sz w:val="24"/>
                <w:szCs w:val="24"/>
                <w:highlight w:val="none"/>
              </w:rPr>
              <w:t>自甲方正式书面通知之日起，</w:t>
            </w:r>
            <w:r>
              <w:rPr>
                <w:rFonts w:hint="eastAsia" w:ascii="宋体" w:hAnsi="宋体"/>
                <w:sz w:val="24"/>
                <w:szCs w:val="24"/>
                <w:highlight w:val="none"/>
                <w:lang w:eastAsia="zh-CN"/>
              </w:rPr>
              <w:t>80个日历天</w:t>
            </w:r>
            <w:r>
              <w:rPr>
                <w:rFonts w:hint="eastAsia" w:ascii="宋体" w:hAnsi="宋体"/>
                <w:sz w:val="24"/>
                <w:szCs w:val="24"/>
                <w:highlight w:val="none"/>
              </w:rPr>
              <w:t>内</w:t>
            </w:r>
          </w:p>
        </w:tc>
      </w:tr>
    </w:tbl>
    <w:p>
      <w:pPr>
        <w:snapToGrid w:val="0"/>
        <w:ind w:firstLine="560" w:firstLineChars="200"/>
        <w:jc w:val="center"/>
        <w:textAlignment w:val="center"/>
        <w:rPr>
          <w:rFonts w:ascii="仿宋" w:hAnsi="仿宋" w:eastAsia="仿宋" w:cs="仿宋"/>
          <w:sz w:val="28"/>
          <w:szCs w:val="28"/>
          <w:highlight w:val="none"/>
        </w:rPr>
      </w:pPr>
    </w:p>
    <w:p>
      <w:pPr>
        <w:adjustRightInd w:val="0"/>
        <w:snapToGrid w:val="0"/>
        <w:spacing w:line="560" w:lineRule="exact"/>
        <w:ind w:firstLine="562"/>
        <w:rPr>
          <w:rFonts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第四条  成果权属</w:t>
      </w:r>
    </w:p>
    <w:p>
      <w:pPr>
        <w:adjustRightInd w:val="0"/>
        <w:snapToGrid w:val="0"/>
        <w:spacing w:line="56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拥有本合同项目的所有中间成果和最终成果，以及与之相关的所有权利。所有提交给甲方的咨询服务文件及相关的资料的最后文本，包括为履行技术咨询服务范围所编制的图纸、计划和证明资料等，都属于甲方的财产。未经甲方的书面同意，乙方不得将上述资料用于与本咨询服务项目之外的任何项目。</w:t>
      </w:r>
    </w:p>
    <w:p>
      <w:pPr>
        <w:adjustRightInd w:val="0"/>
        <w:snapToGrid w:val="0"/>
        <w:spacing w:line="560" w:lineRule="exact"/>
        <w:ind w:firstLine="562"/>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第五条 履约保证金</w:t>
      </w:r>
    </w:p>
    <w:p>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乙方应在中标通知书发出</w:t>
      </w:r>
      <w:r>
        <w:rPr>
          <w:rFonts w:hint="eastAsia" w:ascii="仿宋" w:hAnsi="仿宋" w:eastAsia="仿宋" w:cs="仿宋"/>
          <w:color w:val="000000"/>
          <w:sz w:val="28"/>
          <w:szCs w:val="28"/>
          <w:highlight w:val="none"/>
          <w:u w:val="single"/>
        </w:rPr>
        <w:t xml:space="preserve"> 5 </w:t>
      </w:r>
      <w:r>
        <w:rPr>
          <w:rFonts w:hint="eastAsia" w:ascii="仿宋" w:hAnsi="仿宋" w:eastAsia="仿宋" w:cs="仿宋"/>
          <w:color w:val="000000"/>
          <w:sz w:val="28"/>
          <w:szCs w:val="28"/>
          <w:highlight w:val="none"/>
          <w:u w:val="single"/>
          <w:lang w:eastAsia="zh-CN"/>
        </w:rPr>
        <w:t>个工作</w:t>
      </w:r>
      <w:r>
        <w:rPr>
          <w:rFonts w:hint="eastAsia" w:ascii="仿宋" w:hAnsi="仿宋" w:eastAsia="仿宋" w:cs="仿宋"/>
          <w:color w:val="000000"/>
          <w:sz w:val="28"/>
          <w:szCs w:val="28"/>
          <w:highlight w:val="none"/>
        </w:rPr>
        <w:t>日内，一次性向甲方支付</w:t>
      </w:r>
      <w:r>
        <w:rPr>
          <w:rFonts w:hint="eastAsia" w:ascii="仿宋" w:hAnsi="仿宋" w:eastAsia="仿宋" w:cs="仿宋"/>
          <w:sz w:val="28"/>
          <w:szCs w:val="28"/>
          <w:highlight w:val="none"/>
        </w:rPr>
        <w:t>本项目合同总价款的5%作为</w:t>
      </w:r>
      <w:r>
        <w:rPr>
          <w:rFonts w:hint="eastAsia" w:ascii="仿宋" w:hAnsi="仿宋" w:eastAsia="仿宋" w:cs="仿宋"/>
          <w:color w:val="000000"/>
          <w:sz w:val="28"/>
          <w:szCs w:val="28"/>
          <w:highlight w:val="none"/>
        </w:rPr>
        <w:t>履约保证金。履约保证金不计利息。</w:t>
      </w:r>
    </w:p>
    <w:p>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5.2</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履约保证金应由乙方名义开立的账户支付到甲方账户，或将银行保函交</w:t>
      </w:r>
      <w:r>
        <w:rPr>
          <w:rFonts w:hint="eastAsia" w:ascii="仿宋" w:hAnsi="仿宋" w:eastAsia="仿宋" w:cs="仿宋"/>
          <w:color w:val="000000"/>
          <w:sz w:val="28"/>
          <w:szCs w:val="28"/>
          <w:highlight w:val="none"/>
          <w:lang w:eastAsia="zh-CN"/>
        </w:rPr>
        <w:t>给</w:t>
      </w:r>
      <w:r>
        <w:rPr>
          <w:rFonts w:hint="eastAsia" w:ascii="仿宋" w:hAnsi="仿宋" w:eastAsia="仿宋" w:cs="仿宋"/>
          <w:color w:val="000000"/>
          <w:sz w:val="28"/>
          <w:szCs w:val="28"/>
          <w:highlight w:val="none"/>
        </w:rPr>
        <w:t>招标人</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否则视为未支付，甲方有权追究乙方逾期支付责任。</w:t>
      </w:r>
    </w:p>
    <w:p>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5.3 乙方支付履约保证金时，应在“付款备注”中写明“（合同编号）XX技术服务合同履约保证金”。乙方不得与其他合同、其他缴费项目一起支付履约保证金，若因混合支付造成无法确认为本合同款项到账的，视为逾期未支付。</w:t>
      </w:r>
    </w:p>
    <w:p>
      <w:pPr>
        <w:spacing w:line="360" w:lineRule="auto"/>
        <w:ind w:firstLine="560" w:firstLineChars="200"/>
        <w:rPr>
          <w:rFonts w:hint="eastAsia"/>
          <w:highlight w:val="none"/>
        </w:rPr>
      </w:pPr>
      <w:r>
        <w:rPr>
          <w:rFonts w:hint="eastAsia" w:ascii="仿宋" w:hAnsi="仿宋" w:eastAsia="仿宋" w:cs="仿宋"/>
          <w:color w:val="000000"/>
          <w:sz w:val="28"/>
          <w:szCs w:val="28"/>
          <w:highlight w:val="none"/>
        </w:rPr>
        <w:t>5.</w:t>
      </w:r>
      <w:r>
        <w:rPr>
          <w:rFonts w:hint="default" w:ascii="仿宋" w:hAnsi="仿宋" w:eastAsia="仿宋" w:cs="仿宋"/>
          <w:color w:val="000000"/>
          <w:sz w:val="28"/>
          <w:szCs w:val="28"/>
          <w:highlight w:val="none"/>
        </w:rPr>
        <w:t>4</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本合同期限届满，若乙方在约定时间内履行完成合同义务且无违约情形，甲方在收到乙方退还履约保证金的申请后，</w:t>
      </w:r>
      <w:r>
        <w:rPr>
          <w:rFonts w:hint="eastAsia" w:ascii="仿宋" w:hAnsi="仿宋" w:eastAsia="仿宋" w:cs="仿宋"/>
          <w:color w:val="000000"/>
          <w:sz w:val="28"/>
          <w:szCs w:val="28"/>
          <w:highlight w:val="none"/>
          <w:lang w:eastAsia="zh-CN"/>
        </w:rPr>
        <w:t>3</w:t>
      </w:r>
      <w:r>
        <w:rPr>
          <w:rFonts w:hint="eastAsia" w:ascii="仿宋" w:hAnsi="仿宋" w:eastAsia="仿宋" w:cs="仿宋"/>
          <w:color w:val="000000"/>
          <w:sz w:val="28"/>
          <w:szCs w:val="28"/>
          <w:highlight w:val="none"/>
          <w:lang w:val="en-US" w:eastAsia="zh-CN"/>
        </w:rPr>
        <w:t>0个工作日</w:t>
      </w:r>
      <w:r>
        <w:rPr>
          <w:rFonts w:hint="eastAsia" w:ascii="仿宋" w:hAnsi="仿宋" w:eastAsia="仿宋" w:cs="仿宋"/>
          <w:color w:val="000000"/>
          <w:sz w:val="28"/>
          <w:szCs w:val="28"/>
          <w:highlight w:val="none"/>
        </w:rPr>
        <w:t>内无息退还。</w:t>
      </w:r>
    </w:p>
    <w:p>
      <w:pPr>
        <w:snapToGrid w:val="0"/>
        <w:spacing w:line="520" w:lineRule="exact"/>
        <w:ind w:firstLine="562" w:firstLineChars="200"/>
        <w:rPr>
          <w:rFonts w:ascii="黑体" w:hAnsi="黑体" w:eastAsia="黑体" w:cs="黑体"/>
          <w:sz w:val="28"/>
          <w:szCs w:val="28"/>
          <w:highlight w:val="none"/>
        </w:rPr>
      </w:pPr>
      <w:r>
        <w:rPr>
          <w:rFonts w:hint="eastAsia" w:ascii="黑体" w:hAnsi="黑体" w:eastAsia="黑体" w:cs="黑体"/>
          <w:b/>
          <w:sz w:val="28"/>
          <w:szCs w:val="28"/>
          <w:highlight w:val="none"/>
        </w:rPr>
        <w:t>第六条  咨询费的计取与支付</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 咨询费金额</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本合同咨询费总金额（不含增值税）为人民币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元整(大写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元）；含增值税总金额为人民币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元整(大写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元），增值税税率：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本合同咨询费为包干价，包括乙方履行本合同义务的全部费用和支出，且为固定不变价格。</w:t>
      </w:r>
    </w:p>
    <w:p>
      <w:pPr>
        <w:spacing w:line="520" w:lineRule="exact"/>
        <w:ind w:firstLine="560" w:firstLineChars="200"/>
        <w:rPr>
          <w:rFonts w:hint="default" w:eastAsia="仿宋"/>
          <w:color w:val="auto"/>
          <w:highlight w:val="none"/>
          <w:lang w:val="en-US" w:eastAsia="zh-CN"/>
        </w:rPr>
      </w:pPr>
      <w:r>
        <w:rPr>
          <w:rFonts w:hint="eastAsia" w:ascii="仿宋" w:hAnsi="仿宋" w:eastAsia="仿宋" w:cs="仿宋"/>
          <w:color w:val="auto"/>
          <w:sz w:val="28"/>
          <w:szCs w:val="28"/>
          <w:highlight w:val="none"/>
          <w:lang w:val="en-US" w:eastAsia="zh-CN"/>
        </w:rPr>
        <w:t>合同履行期间，若甲方需增加研究区域，则增加的区域中，3km²（含）以内部分，由乙方免费提供服务；3km²以外部分，按上述合同咨询费总金额除以37km²计算单价后，按面积计费。</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 咨询费由甲方 分期 支付乙方。</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具体支付方式和时间如下：</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6.2.1 合同签订后，且甲方收到乙方开具</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增值税</w:t>
      </w:r>
      <w:r>
        <w:rPr>
          <w:rFonts w:hint="eastAsia" w:ascii="仿宋" w:hAnsi="仿宋" w:eastAsia="仿宋" w:cs="仿宋"/>
          <w:color w:val="auto"/>
          <w:sz w:val="28"/>
          <w:szCs w:val="28"/>
          <w:highlight w:val="none"/>
          <w:lang w:eastAsia="zh-CN"/>
        </w:rPr>
        <w:t>专用</w:t>
      </w:r>
      <w:r>
        <w:rPr>
          <w:rFonts w:hint="eastAsia" w:ascii="仿宋" w:hAnsi="仿宋" w:eastAsia="仿宋" w:cs="仿宋"/>
          <w:color w:val="auto"/>
          <w:sz w:val="28"/>
          <w:szCs w:val="28"/>
          <w:highlight w:val="none"/>
        </w:rPr>
        <w:t>发票后20个工作日内，支付</w:t>
      </w:r>
      <w:r>
        <w:rPr>
          <w:rFonts w:hint="eastAsia" w:ascii="仿宋" w:hAnsi="仿宋" w:eastAsia="仿宋" w:cs="仿宋"/>
          <w:color w:val="auto"/>
          <w:sz w:val="28"/>
          <w:szCs w:val="28"/>
          <w:highlight w:val="none"/>
          <w:lang w:val="en-US" w:eastAsia="zh-CN"/>
        </w:rPr>
        <w:t>合同含增值税总金额</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6.2.2 乙方完成</w:t>
      </w:r>
      <w:r>
        <w:rPr>
          <w:rFonts w:hint="eastAsia" w:ascii="仿宋" w:hAnsi="仿宋" w:eastAsia="仿宋" w:cs="仿宋"/>
          <w:color w:val="auto"/>
          <w:sz w:val="28"/>
          <w:szCs w:val="28"/>
          <w:highlight w:val="none"/>
          <w:lang w:eastAsia="zh-CN"/>
        </w:rPr>
        <w:t>防洪专项研究</w:t>
      </w:r>
      <w:r>
        <w:rPr>
          <w:rFonts w:hint="eastAsia" w:ascii="仿宋" w:hAnsi="仿宋" w:eastAsia="仿宋" w:cs="仿宋"/>
          <w:color w:val="auto"/>
          <w:sz w:val="28"/>
          <w:szCs w:val="28"/>
          <w:highlight w:val="none"/>
        </w:rPr>
        <w:t>报告，经甲方审核</w:t>
      </w:r>
      <w:r>
        <w:rPr>
          <w:rFonts w:hint="eastAsia" w:ascii="仿宋" w:hAnsi="仿宋" w:eastAsia="仿宋" w:cs="仿宋"/>
          <w:color w:val="auto"/>
          <w:sz w:val="28"/>
          <w:szCs w:val="28"/>
          <w:highlight w:val="none"/>
          <w:lang w:eastAsia="zh-CN"/>
        </w:rPr>
        <w:t>和行业内专家评审</w:t>
      </w:r>
      <w:r>
        <w:rPr>
          <w:rFonts w:hint="eastAsia" w:ascii="仿宋" w:hAnsi="仿宋" w:eastAsia="仿宋" w:cs="仿宋"/>
          <w:color w:val="auto"/>
          <w:sz w:val="28"/>
          <w:szCs w:val="28"/>
          <w:highlight w:val="none"/>
          <w:lang w:val="en-US" w:eastAsia="zh-CN"/>
        </w:rPr>
        <w:t>通过</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并获得专家评审意见书，</w:t>
      </w:r>
      <w:r>
        <w:rPr>
          <w:rFonts w:hint="eastAsia" w:ascii="仿宋" w:hAnsi="仿宋" w:eastAsia="仿宋" w:cs="仿宋"/>
          <w:color w:val="auto"/>
          <w:sz w:val="28"/>
          <w:szCs w:val="28"/>
          <w:highlight w:val="none"/>
        </w:rPr>
        <w:t>甲方收到乙方开具</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增值税</w:t>
      </w:r>
      <w:r>
        <w:rPr>
          <w:rFonts w:hint="eastAsia" w:ascii="仿宋" w:hAnsi="仿宋" w:eastAsia="仿宋" w:cs="仿宋"/>
          <w:color w:val="auto"/>
          <w:sz w:val="28"/>
          <w:szCs w:val="28"/>
          <w:highlight w:val="none"/>
          <w:lang w:eastAsia="zh-CN"/>
        </w:rPr>
        <w:t>专用</w:t>
      </w:r>
      <w:r>
        <w:rPr>
          <w:rFonts w:hint="eastAsia" w:ascii="仿宋" w:hAnsi="仿宋" w:eastAsia="仿宋" w:cs="仿宋"/>
          <w:color w:val="auto"/>
          <w:sz w:val="28"/>
          <w:szCs w:val="28"/>
          <w:highlight w:val="none"/>
        </w:rPr>
        <w:t>发票后20个工作日内，支付</w:t>
      </w:r>
      <w:r>
        <w:rPr>
          <w:rFonts w:hint="eastAsia" w:ascii="仿宋" w:hAnsi="仿宋" w:eastAsia="仿宋" w:cs="仿宋"/>
          <w:color w:val="auto"/>
          <w:sz w:val="28"/>
          <w:szCs w:val="28"/>
          <w:highlight w:val="none"/>
          <w:lang w:val="en-US" w:eastAsia="zh-CN"/>
        </w:rPr>
        <w:t>合同含增值税总金额的60% ；</w:t>
      </w:r>
    </w:p>
    <w:p>
      <w:pPr>
        <w:snapToGrid/>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 重庆新机场总体规划获得主管部门批复</w:t>
      </w:r>
      <w:r>
        <w:rPr>
          <w:rFonts w:hint="eastAsia" w:ascii="仿宋" w:hAnsi="仿宋" w:eastAsia="仿宋" w:cs="仿宋"/>
          <w:color w:val="auto"/>
          <w:sz w:val="28"/>
          <w:szCs w:val="28"/>
          <w:highlight w:val="none"/>
          <w:lang w:val="en-US" w:eastAsia="zh-CN"/>
        </w:rPr>
        <w:t>通过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且重庆新机场洪水影响评价获得主管部门批复通过，</w:t>
      </w:r>
      <w:r>
        <w:rPr>
          <w:rFonts w:hint="eastAsia" w:ascii="仿宋" w:hAnsi="仿宋" w:eastAsia="仿宋" w:cs="仿宋"/>
          <w:color w:val="auto"/>
          <w:sz w:val="28"/>
          <w:szCs w:val="28"/>
          <w:highlight w:val="none"/>
        </w:rPr>
        <w:t>甲方收到乙方开具</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增值税</w:t>
      </w:r>
      <w:r>
        <w:rPr>
          <w:rFonts w:hint="eastAsia" w:ascii="仿宋" w:hAnsi="仿宋" w:eastAsia="仿宋" w:cs="仿宋"/>
          <w:color w:val="auto"/>
          <w:sz w:val="28"/>
          <w:szCs w:val="28"/>
          <w:highlight w:val="none"/>
          <w:lang w:eastAsia="zh-CN"/>
        </w:rPr>
        <w:t>专用</w:t>
      </w:r>
      <w:r>
        <w:rPr>
          <w:rFonts w:hint="eastAsia" w:ascii="仿宋" w:hAnsi="仿宋" w:eastAsia="仿宋" w:cs="仿宋"/>
          <w:color w:val="auto"/>
          <w:sz w:val="28"/>
          <w:szCs w:val="28"/>
          <w:highlight w:val="none"/>
        </w:rPr>
        <w:t>发票后20个工作日内，支付</w:t>
      </w:r>
      <w:r>
        <w:rPr>
          <w:rFonts w:hint="eastAsia" w:ascii="仿宋" w:hAnsi="仿宋" w:eastAsia="仿宋" w:cs="仿宋"/>
          <w:color w:val="auto"/>
          <w:sz w:val="28"/>
          <w:szCs w:val="28"/>
          <w:highlight w:val="none"/>
          <w:lang w:val="en-US" w:eastAsia="zh-CN"/>
        </w:rPr>
        <w:t>合同含增值税总金额的</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p>
    <w:p>
      <w:pPr>
        <w:snapToGrid w:val="0"/>
        <w:spacing w:line="520" w:lineRule="exact"/>
        <w:ind w:firstLine="560" w:firstLineChars="200"/>
        <w:rPr>
          <w:rFonts w:hint="eastAsia"/>
          <w:highlight w:val="none"/>
        </w:rPr>
      </w:pPr>
      <w:r>
        <w:rPr>
          <w:rFonts w:hint="eastAsia" w:ascii="仿宋" w:hAnsi="仿宋" w:eastAsia="仿宋" w:cs="仿宋"/>
          <w:sz w:val="28"/>
          <w:szCs w:val="28"/>
          <w:highlight w:val="none"/>
        </w:rPr>
        <w:t>6.3 乙方须向甲方提供正规增值税</w:t>
      </w:r>
      <w:r>
        <w:rPr>
          <w:rFonts w:hint="eastAsia" w:ascii="仿宋" w:hAnsi="仿宋" w:eastAsia="仿宋" w:cs="仿宋"/>
          <w:sz w:val="28"/>
          <w:szCs w:val="28"/>
          <w:highlight w:val="none"/>
          <w:lang w:eastAsia="zh-CN"/>
        </w:rPr>
        <w:t>专用</w:t>
      </w:r>
      <w:r>
        <w:rPr>
          <w:rFonts w:hint="eastAsia" w:ascii="仿宋" w:hAnsi="仿宋" w:eastAsia="仿宋" w:cs="仿宋"/>
          <w:sz w:val="28"/>
          <w:szCs w:val="28"/>
          <w:highlight w:val="none"/>
        </w:rPr>
        <w:t>发票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甲方支付金额=不含增值税金额+增值税税额。</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6.4 甲方账户信息：</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账户名称：</w:t>
      </w:r>
      <w:r>
        <w:rPr>
          <w:rFonts w:hint="eastAsia" w:ascii="仿宋" w:hAnsi="仿宋" w:eastAsia="仿宋" w:cs="仿宋"/>
          <w:sz w:val="28"/>
          <w:szCs w:val="28"/>
          <w:highlight w:val="none"/>
          <w:u w:val="single"/>
        </w:rPr>
        <w:t xml:space="preserve">               </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银行账号：</w:t>
      </w:r>
      <w:r>
        <w:rPr>
          <w:rFonts w:hint="eastAsia" w:ascii="仿宋" w:hAnsi="仿宋" w:eastAsia="仿宋" w:cs="仿宋"/>
          <w:sz w:val="28"/>
          <w:szCs w:val="28"/>
          <w:highlight w:val="none"/>
          <w:u w:val="single"/>
        </w:rPr>
        <w:t xml:space="preserve">               </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6.5 乙方账户信息：</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账户名称：</w:t>
      </w:r>
      <w:r>
        <w:rPr>
          <w:rFonts w:hint="eastAsia" w:ascii="仿宋" w:hAnsi="仿宋" w:eastAsia="仿宋" w:cs="仿宋"/>
          <w:sz w:val="28"/>
          <w:szCs w:val="28"/>
          <w:highlight w:val="none"/>
          <w:u w:val="single"/>
        </w:rPr>
        <w:t xml:space="preserve">               </w:t>
      </w:r>
    </w:p>
    <w:p>
      <w:pPr>
        <w:snapToGrid w:val="0"/>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p>
    <w:p>
      <w:pPr>
        <w:snapToGrid w:val="0"/>
        <w:spacing w:line="52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银行账号：</w:t>
      </w:r>
      <w:r>
        <w:rPr>
          <w:rFonts w:hint="eastAsia" w:ascii="仿宋" w:hAnsi="仿宋" w:eastAsia="仿宋" w:cs="仿宋"/>
          <w:sz w:val="28"/>
          <w:szCs w:val="28"/>
          <w:highlight w:val="none"/>
          <w:u w:val="single"/>
        </w:rPr>
        <w:t xml:space="preserve">               </w:t>
      </w:r>
    </w:p>
    <w:p>
      <w:pPr>
        <w:snapToGrid w:val="0"/>
        <w:spacing w:line="520" w:lineRule="exact"/>
        <w:ind w:firstLine="562" w:firstLineChars="200"/>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第七条  甲方权利及义务</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 甲方权利</w:t>
      </w:r>
    </w:p>
    <w:p>
      <w:pPr>
        <w:spacing w:line="520" w:lineRule="exact"/>
        <w:ind w:firstLine="560" w:firstLineChars="20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7.1.1 甲方</w:t>
      </w:r>
      <w:r>
        <w:rPr>
          <w:rFonts w:hint="eastAsia" w:ascii="仿宋" w:hAnsi="仿宋" w:eastAsia="仿宋" w:cs="仿宋"/>
          <w:color w:val="auto"/>
          <w:sz w:val="28"/>
          <w:szCs w:val="28"/>
          <w:highlight w:val="none"/>
          <w:lang w:val="zh-CN"/>
        </w:rPr>
        <w:t>有权向乙方询问工作进展情况及相关的内容，</w:t>
      </w:r>
      <w:r>
        <w:rPr>
          <w:rFonts w:hint="eastAsia" w:ascii="仿宋" w:hAnsi="仿宋" w:eastAsia="仿宋" w:cs="仿宋"/>
          <w:color w:val="auto"/>
          <w:sz w:val="28"/>
          <w:szCs w:val="28"/>
          <w:highlight w:val="none"/>
        </w:rPr>
        <w:t>并</w:t>
      </w:r>
      <w:r>
        <w:rPr>
          <w:rFonts w:hint="eastAsia" w:ascii="仿宋" w:hAnsi="仿宋" w:eastAsia="仿宋" w:cs="仿宋"/>
          <w:color w:val="auto"/>
          <w:sz w:val="28"/>
          <w:szCs w:val="28"/>
          <w:highlight w:val="none"/>
          <w:lang w:val="zh-CN"/>
        </w:rPr>
        <w:t>对具体问题</w:t>
      </w:r>
      <w:r>
        <w:rPr>
          <w:rFonts w:hint="eastAsia" w:ascii="仿宋" w:hAnsi="仿宋" w:eastAsia="仿宋" w:cs="仿宋"/>
          <w:color w:val="auto"/>
          <w:sz w:val="28"/>
          <w:szCs w:val="28"/>
          <w:highlight w:val="none"/>
        </w:rPr>
        <w:t>提出</w:t>
      </w:r>
      <w:r>
        <w:rPr>
          <w:rFonts w:hint="eastAsia" w:ascii="仿宋" w:hAnsi="仿宋" w:eastAsia="仿宋" w:cs="仿宋"/>
          <w:color w:val="auto"/>
          <w:sz w:val="28"/>
          <w:szCs w:val="28"/>
          <w:highlight w:val="none"/>
          <w:lang w:val="zh-CN"/>
        </w:rPr>
        <w:t>意见和建议，</w:t>
      </w:r>
      <w:r>
        <w:rPr>
          <w:rFonts w:hint="eastAsia" w:ascii="仿宋" w:hAnsi="仿宋" w:eastAsia="仿宋" w:cs="仿宋"/>
          <w:color w:val="auto"/>
          <w:sz w:val="28"/>
          <w:szCs w:val="28"/>
          <w:highlight w:val="none"/>
        </w:rPr>
        <w:t>乙方应如实回复或披露，并接受甲方的合理意见或建议</w:t>
      </w:r>
      <w:r>
        <w:rPr>
          <w:rFonts w:hint="eastAsia" w:ascii="仿宋" w:hAnsi="仿宋" w:eastAsia="仿宋" w:cs="仿宋"/>
          <w:color w:val="auto"/>
          <w:sz w:val="28"/>
          <w:szCs w:val="28"/>
          <w:highlight w:val="none"/>
          <w:lang w:val="zh-CN"/>
        </w:rPr>
        <w:t>。</w:t>
      </w:r>
    </w:p>
    <w:p>
      <w:pPr>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 xml:space="preserve">7.1.2 </w:t>
      </w:r>
      <w:r>
        <w:rPr>
          <w:rFonts w:hint="eastAsia" w:ascii="仿宋" w:hAnsi="仿宋" w:eastAsia="仿宋" w:cs="仿宋"/>
          <w:color w:val="auto"/>
          <w:sz w:val="28"/>
          <w:szCs w:val="28"/>
          <w:highlight w:val="none"/>
          <w:lang w:val="zh-CN"/>
        </w:rPr>
        <w:t>乙方人员不按合同履行其职责</w:t>
      </w:r>
      <w:r>
        <w:rPr>
          <w:rFonts w:hint="eastAsia" w:ascii="仿宋" w:hAnsi="仿宋" w:eastAsia="仿宋" w:cs="仿宋"/>
          <w:color w:val="auto"/>
          <w:sz w:val="28"/>
          <w:szCs w:val="28"/>
          <w:highlight w:val="none"/>
        </w:rPr>
        <w:t>或不符合甲方及项目要求的</w:t>
      </w:r>
      <w:r>
        <w:rPr>
          <w:rFonts w:hint="eastAsia" w:ascii="仿宋" w:hAnsi="仿宋" w:eastAsia="仿宋" w:cs="仿宋"/>
          <w:color w:val="auto"/>
          <w:sz w:val="28"/>
          <w:szCs w:val="28"/>
          <w:highlight w:val="none"/>
          <w:lang w:val="zh-CN"/>
        </w:rPr>
        <w:t>，甲方有权要求更换人员。</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 甲方义务</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7.2.1 甲方应配合乙方及时提供项目基础资料。</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7.2.2 甲方应就乙方的工作成果及时审查、</w:t>
      </w:r>
      <w:r>
        <w:rPr>
          <w:rFonts w:hint="eastAsia" w:ascii="仿宋" w:hAnsi="仿宋" w:eastAsia="仿宋" w:cs="仿宋"/>
          <w:color w:val="auto"/>
          <w:sz w:val="28"/>
          <w:szCs w:val="28"/>
          <w:highlight w:val="none"/>
          <w:lang w:eastAsia="zh-CN"/>
        </w:rPr>
        <w:t>组织行业内专家评审、</w:t>
      </w:r>
      <w:r>
        <w:rPr>
          <w:rFonts w:hint="eastAsia" w:ascii="仿宋" w:hAnsi="仿宋" w:eastAsia="仿宋" w:cs="仿宋"/>
          <w:color w:val="auto"/>
          <w:sz w:val="28"/>
          <w:szCs w:val="28"/>
          <w:highlight w:val="none"/>
        </w:rPr>
        <w:t>验收。</w:t>
      </w:r>
      <w:bookmarkStart w:id="146" w:name="OLE_LINK38"/>
      <w:bookmarkStart w:id="147" w:name="OLE_LINK39"/>
    </w:p>
    <w:p>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7.2.3 甲方应当按照约定支付咨询服务费。</w:t>
      </w:r>
    </w:p>
    <w:bookmarkEnd w:id="146"/>
    <w:bookmarkEnd w:id="147"/>
    <w:p>
      <w:pPr>
        <w:snapToGrid w:val="0"/>
        <w:spacing w:line="520" w:lineRule="exact"/>
        <w:ind w:firstLine="562" w:firstLineChars="200"/>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第八条  乙方权利及义务</w:t>
      </w:r>
    </w:p>
    <w:p>
      <w:pPr>
        <w:autoSpaceDE w:val="0"/>
        <w:autoSpaceDN w:val="0"/>
        <w:spacing w:line="520" w:lineRule="exact"/>
        <w:ind w:firstLine="672" w:firstLineChars="24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8.1 乙方</w:t>
      </w:r>
      <w:r>
        <w:rPr>
          <w:rFonts w:hint="eastAsia" w:ascii="仿宋" w:hAnsi="仿宋" w:eastAsia="仿宋" w:cs="仿宋"/>
          <w:color w:val="auto"/>
          <w:sz w:val="28"/>
          <w:szCs w:val="28"/>
          <w:highlight w:val="none"/>
          <w:lang w:val="zh-CN"/>
        </w:rPr>
        <w:t>权利</w:t>
      </w:r>
    </w:p>
    <w:p>
      <w:pPr>
        <w:autoSpaceDE w:val="0"/>
        <w:autoSpaceDN w:val="0"/>
        <w:spacing w:line="520" w:lineRule="exact"/>
        <w:ind w:firstLine="672" w:firstLineChars="24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8.1.1 乙方有权按照约定收取咨询服务费。</w:t>
      </w:r>
    </w:p>
    <w:p>
      <w:pPr>
        <w:autoSpaceDE w:val="0"/>
        <w:autoSpaceDN w:val="0"/>
        <w:spacing w:line="520" w:lineRule="exact"/>
        <w:ind w:firstLine="672" w:firstLineChars="240"/>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 xml:space="preserve">8.1.2 </w:t>
      </w:r>
      <w:r>
        <w:rPr>
          <w:rFonts w:hint="eastAsia" w:ascii="仿宋" w:hAnsi="仿宋" w:eastAsia="仿宋" w:cs="仿宋"/>
          <w:color w:val="auto"/>
          <w:sz w:val="28"/>
          <w:szCs w:val="28"/>
          <w:highlight w:val="none"/>
          <w:lang w:val="zh-CN"/>
        </w:rPr>
        <w:t>在本项目服务过程中，如甲方提供的资料不明确时，</w:t>
      </w:r>
      <w:r>
        <w:rPr>
          <w:rFonts w:hint="eastAsia" w:ascii="仿宋" w:hAnsi="仿宋" w:eastAsia="仿宋" w:cs="仿宋"/>
          <w:color w:val="auto"/>
          <w:sz w:val="28"/>
          <w:szCs w:val="28"/>
          <w:highlight w:val="none"/>
        </w:rPr>
        <w:t>乙方有权</w:t>
      </w:r>
      <w:r>
        <w:rPr>
          <w:rFonts w:hint="eastAsia" w:ascii="仿宋" w:hAnsi="仿宋" w:eastAsia="仿宋" w:cs="仿宋"/>
          <w:color w:val="auto"/>
          <w:sz w:val="28"/>
          <w:szCs w:val="28"/>
          <w:highlight w:val="none"/>
          <w:lang w:val="zh-CN"/>
        </w:rPr>
        <w:t>向甲方提出书面报告</w:t>
      </w:r>
      <w:r>
        <w:rPr>
          <w:rFonts w:hint="eastAsia" w:ascii="仿宋" w:hAnsi="仿宋" w:eastAsia="仿宋" w:cs="仿宋"/>
          <w:color w:val="auto"/>
          <w:sz w:val="28"/>
          <w:szCs w:val="28"/>
          <w:highlight w:val="none"/>
        </w:rPr>
        <w:t>请求予以更正或补充相关资料。</w:t>
      </w:r>
    </w:p>
    <w:p>
      <w:pPr>
        <w:adjustRightInd w:val="0"/>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8.2 乙方义务</w:t>
      </w:r>
    </w:p>
    <w:p>
      <w:pPr>
        <w:adjustRightInd w:val="0"/>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8.2.1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乙方应按现行法律法规、技术标准规范、本合同约定等要求开展咨询服务，保证工作进度和质量，并对成果的质量、</w:t>
      </w:r>
      <w:r>
        <w:rPr>
          <w:rFonts w:hint="eastAsia" w:ascii="仿宋" w:hAnsi="仿宋" w:eastAsia="仿宋" w:cs="仿宋"/>
          <w:color w:val="auto"/>
          <w:sz w:val="28"/>
          <w:szCs w:val="28"/>
          <w:highlight w:val="none"/>
          <w:lang w:eastAsia="zh-CN"/>
        </w:rPr>
        <w:t>真实性、</w:t>
      </w:r>
      <w:r>
        <w:rPr>
          <w:rFonts w:hint="eastAsia" w:ascii="仿宋" w:hAnsi="仿宋" w:eastAsia="仿宋" w:cs="仿宋"/>
          <w:color w:val="auto"/>
          <w:sz w:val="28"/>
          <w:szCs w:val="28"/>
          <w:highlight w:val="none"/>
        </w:rPr>
        <w:t>准确性、完整性、时限性负责。如因不符合上述要求而给甲方或其他第三人造成损失的，乙方应承担相关赔偿责任。</w:t>
      </w:r>
    </w:p>
    <w:p>
      <w:pPr>
        <w:adjustRightInd w:val="0"/>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8.2.2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乙方应按照约定及时向甲方交付相关过程文件及最终咨询成果。</w:t>
      </w:r>
    </w:p>
    <w:p>
      <w:pPr>
        <w:adjustRightInd w:val="0"/>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乙方应当保证其提交的成果符合国家及地方现有法律、法规、规章，政策及行业规范之要求、符合本合同目的。</w:t>
      </w:r>
    </w:p>
    <w:p>
      <w:pPr>
        <w:adjustRightInd w:val="0"/>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8.2.4</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乙方应按甲方要求，对于其咨询成果的相关内容予以书面或口头回复。 </w:t>
      </w:r>
    </w:p>
    <w:p>
      <w:pPr>
        <w:adjustRightInd w:val="0"/>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8.2.5</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乙方应接受甲方及其相关工作人员对乙方工作的监督，并按照甲方及其有关人员的意见或建议及时予以整改。</w:t>
      </w:r>
    </w:p>
    <w:p>
      <w:pPr>
        <w:adjustRightInd w:val="0"/>
        <w:snapToGrid w:val="0"/>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8.2.6</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乙方不得将本合同项目全部或部分转包给第三方。</w:t>
      </w:r>
    </w:p>
    <w:p>
      <w:pPr>
        <w:adjustRightInd w:val="0"/>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8.2.7</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乙方承诺按甲方要求完成本项目，出于自身财务、技术、人力等原因导致项目失败的，应承担全部责任。</w:t>
      </w:r>
    </w:p>
    <w:p>
      <w:pPr>
        <w:snapToGrid w:val="0"/>
        <w:spacing w:line="520" w:lineRule="exact"/>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 xml:space="preserve">第九条 </w:t>
      </w:r>
      <w:r>
        <w:rPr>
          <w:rFonts w:hint="eastAsia" w:ascii="黑体" w:hAnsi="黑体" w:eastAsia="黑体" w:cs="黑体"/>
          <w:color w:val="auto"/>
          <w:sz w:val="28"/>
          <w:szCs w:val="28"/>
          <w:highlight w:val="none"/>
        </w:rPr>
        <w:t xml:space="preserve"> </w:t>
      </w:r>
      <w:r>
        <w:rPr>
          <w:rFonts w:hint="eastAsia" w:ascii="黑体" w:hAnsi="黑体" w:eastAsia="黑体" w:cs="黑体"/>
          <w:b/>
          <w:bCs/>
          <w:color w:val="auto"/>
          <w:sz w:val="28"/>
          <w:szCs w:val="28"/>
          <w:highlight w:val="none"/>
        </w:rPr>
        <w:t xml:space="preserve"> 通知条款</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下的通知或法律文书等应以书面方式，通过现场交付、邮寄或电子邮箱形式发至如下地址（包括电子邮箱地址，下同）。如果一方的地址发生变更，变更后的地址应当及时书面通知另一方，未通知的则原地址视为送达地址。</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甲方通讯方式：</w:t>
      </w:r>
    </w:p>
    <w:p>
      <w:pPr>
        <w:snapToGrid w:val="0"/>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pPr>
        <w:snapToGrid w:val="0"/>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电子邮箱：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乙方通讯方式：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若由人工送达，送达时间应为该通知交给另一方的日期；若由邮寄送达，送达时间为快递签收或被退回日期；若由电子邮箱送达，送达时间为该通知进入被通知方电子邮箱系统的时间。</w:t>
      </w:r>
    </w:p>
    <w:p>
      <w:pPr>
        <w:snapToGrid w:val="0"/>
        <w:spacing w:line="520" w:lineRule="exact"/>
        <w:ind w:firstLine="562" w:firstLineChars="200"/>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第十条  保密条款</w:t>
      </w:r>
    </w:p>
    <w:p>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在本合同签订和履行过程中所获得或知悉的关于甲方的所有未公开的信息(包括项目信息、技术图纸、资料、经营信息、人力资源、本合同所涉及的研究内容、研究成果等等)为甲方的秘密，乙方应严守其秘密性，不得用于本合同以外的其他用途，不得提供给任何第三方（但为本项目之目的，向政府有关部门或任何一方为本项目所聘请的其他顾问机构和个人进行披露的除外）。</w:t>
      </w:r>
    </w:p>
    <w:p>
      <w:pPr>
        <w:snapToGrid w:val="0"/>
        <w:spacing w:line="520" w:lineRule="exact"/>
        <w:ind w:firstLine="560" w:firstLineChars="200"/>
        <w:rPr>
          <w:rFonts w:ascii="仿宋" w:hAnsi="仿宋" w:eastAsia="仿宋" w:cs="仿宋"/>
          <w:color w:val="auto"/>
          <w:sz w:val="28"/>
          <w:szCs w:val="28"/>
          <w:highlight w:val="none"/>
        </w:rPr>
      </w:pPr>
      <w:bookmarkStart w:id="148" w:name="OLE_LINK56"/>
      <w:bookmarkStart w:id="149" w:name="OLE_LINK57"/>
      <w:r>
        <w:rPr>
          <w:rFonts w:hint="eastAsia" w:ascii="仿宋" w:hAnsi="仿宋" w:eastAsia="仿宋" w:cs="仿宋"/>
          <w:color w:val="auto"/>
          <w:sz w:val="28"/>
          <w:szCs w:val="28"/>
          <w:highlight w:val="none"/>
        </w:rPr>
        <w:t>10.2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乙方应采取合理的预防措施</w:t>
      </w:r>
      <w:bookmarkEnd w:id="148"/>
      <w:bookmarkEnd w:id="149"/>
      <w:r>
        <w:rPr>
          <w:rFonts w:hint="eastAsia" w:ascii="仿宋" w:hAnsi="仿宋" w:eastAsia="仿宋" w:cs="仿宋"/>
          <w:color w:val="auto"/>
          <w:sz w:val="28"/>
          <w:szCs w:val="28"/>
          <w:highlight w:val="none"/>
        </w:rPr>
        <w:t>，以确保</w:t>
      </w:r>
      <w:bookmarkStart w:id="150" w:name="OLE_LINK58"/>
      <w:bookmarkStart w:id="151" w:name="OLE_LINK59"/>
      <w:r>
        <w:rPr>
          <w:rFonts w:hint="eastAsia" w:ascii="仿宋" w:hAnsi="仿宋" w:eastAsia="仿宋" w:cs="仿宋"/>
          <w:color w:val="auto"/>
          <w:sz w:val="28"/>
          <w:szCs w:val="28"/>
          <w:highlight w:val="none"/>
        </w:rPr>
        <w:t>只有为本项目实施有关而合理需要该等保密信息的人员和顾问</w:t>
      </w:r>
      <w:bookmarkEnd w:id="150"/>
      <w:bookmarkEnd w:id="151"/>
      <w:r>
        <w:rPr>
          <w:rFonts w:hint="eastAsia" w:ascii="仿宋" w:hAnsi="仿宋" w:eastAsia="仿宋" w:cs="仿宋"/>
          <w:color w:val="auto"/>
          <w:sz w:val="28"/>
          <w:szCs w:val="28"/>
          <w:highlight w:val="none"/>
        </w:rPr>
        <w:t>才能接触到保密信息。</w:t>
      </w:r>
    </w:p>
    <w:p>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10.3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无论本合同是否终止或解除，乙方均应按照约定履行保密义务。</w:t>
      </w:r>
    </w:p>
    <w:p>
      <w:pPr>
        <w:snapToGrid w:val="0"/>
        <w:spacing w:line="520" w:lineRule="exact"/>
        <w:ind w:firstLine="562" w:firstLineChars="200"/>
        <w:rPr>
          <w:rFonts w:ascii="黑体" w:hAnsi="黑体" w:eastAsia="黑体" w:cs="黑体"/>
          <w:color w:val="auto"/>
          <w:sz w:val="28"/>
          <w:szCs w:val="28"/>
          <w:highlight w:val="none"/>
        </w:rPr>
      </w:pPr>
      <w:r>
        <w:rPr>
          <w:rFonts w:hint="eastAsia" w:ascii="黑体" w:hAnsi="黑体" w:eastAsia="黑体" w:cs="黑体"/>
          <w:b/>
          <w:color w:val="auto"/>
          <w:sz w:val="28"/>
          <w:szCs w:val="28"/>
          <w:highlight w:val="none"/>
        </w:rPr>
        <w:t>第十一条</w:t>
      </w:r>
      <w:r>
        <w:rPr>
          <w:rFonts w:hint="eastAsia" w:ascii="黑体" w:hAnsi="黑体" w:eastAsia="黑体" w:cs="黑体"/>
          <w:color w:val="auto"/>
          <w:sz w:val="28"/>
          <w:szCs w:val="28"/>
          <w:highlight w:val="none"/>
        </w:rPr>
        <w:t xml:space="preserve">  </w:t>
      </w:r>
      <w:r>
        <w:rPr>
          <w:rFonts w:hint="eastAsia" w:ascii="黑体" w:hAnsi="黑体" w:eastAsia="黑体" w:cs="黑体"/>
          <w:b/>
          <w:bCs/>
          <w:color w:val="auto"/>
          <w:sz w:val="28"/>
          <w:szCs w:val="28"/>
          <w:highlight w:val="none"/>
        </w:rPr>
        <w:t>合同变更与解除</w:t>
      </w:r>
    </w:p>
    <w:p>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本合同的变更必须由双方协商一致，并以书面形式确定后方可生效；</w:t>
      </w:r>
    </w:p>
    <w:p>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如因不可抗力导致</w:t>
      </w:r>
      <w:r>
        <w:rPr>
          <w:rFonts w:hint="eastAsia" w:ascii="仿宋" w:hAnsi="仿宋" w:eastAsia="仿宋" w:cs="仿宋"/>
          <w:color w:val="auto"/>
          <w:sz w:val="28"/>
          <w:szCs w:val="28"/>
          <w:highlight w:val="none"/>
          <w:lang w:eastAsia="zh-CN"/>
        </w:rPr>
        <w:t>项目取消或</w:t>
      </w:r>
      <w:r>
        <w:rPr>
          <w:rFonts w:hint="eastAsia" w:ascii="仿宋" w:hAnsi="仿宋" w:eastAsia="仿宋" w:cs="仿宋"/>
          <w:color w:val="auto"/>
          <w:sz w:val="28"/>
          <w:szCs w:val="28"/>
          <w:highlight w:val="none"/>
        </w:rPr>
        <w:t>本合同无法履行的，</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可书面通知</w:t>
      </w:r>
      <w:r>
        <w:rPr>
          <w:rFonts w:hint="eastAsia" w:ascii="仿宋" w:hAnsi="仿宋" w:eastAsia="仿宋" w:cs="仿宋"/>
          <w:color w:val="auto"/>
          <w:sz w:val="28"/>
          <w:szCs w:val="28"/>
          <w:highlight w:val="none"/>
          <w:lang w:eastAsia="zh-CN"/>
        </w:rPr>
        <w:t>乙</w:t>
      </w:r>
      <w:r>
        <w:rPr>
          <w:rFonts w:hint="eastAsia" w:ascii="仿宋" w:hAnsi="仿宋" w:eastAsia="仿宋" w:cs="仿宋"/>
          <w:color w:val="auto"/>
          <w:sz w:val="28"/>
          <w:szCs w:val="28"/>
          <w:highlight w:val="none"/>
        </w:rPr>
        <w:t>方解除合同</w:t>
      </w:r>
      <w:r>
        <w:rPr>
          <w:rFonts w:hint="eastAsia" w:ascii="仿宋" w:hAnsi="仿宋" w:eastAsia="仿宋" w:cs="仿宋"/>
          <w:color w:val="auto"/>
          <w:sz w:val="28"/>
          <w:szCs w:val="28"/>
          <w:highlight w:val="none"/>
          <w:lang w:eastAsia="zh-CN"/>
        </w:rPr>
        <w:t>，根据乙方实际工作量就应付的咨询费进行结算</w:t>
      </w:r>
      <w:r>
        <w:rPr>
          <w:rFonts w:hint="eastAsia" w:ascii="仿宋" w:hAnsi="仿宋" w:eastAsia="仿宋" w:cs="仿宋"/>
          <w:color w:val="auto"/>
          <w:sz w:val="28"/>
          <w:szCs w:val="28"/>
          <w:highlight w:val="none"/>
        </w:rPr>
        <w:t>。</w:t>
      </w:r>
    </w:p>
    <w:p>
      <w:pPr>
        <w:snapToGrid w:val="0"/>
        <w:spacing w:line="520" w:lineRule="exact"/>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color w:val="auto"/>
          <w:sz w:val="28"/>
          <w:szCs w:val="28"/>
          <w:highlight w:val="none"/>
        </w:rPr>
        <w:t>11.3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如因可归责于甲方的原因导致本</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auto"/>
          <w:sz w:val="28"/>
          <w:szCs w:val="28"/>
          <w:highlight w:val="none"/>
        </w:rPr>
        <w:t>提前终止的，甲方还应根据乙方实际工作阶段、已经支付的咨询费和已经完成的工作成果与乙方就应付的咨询费进</w:t>
      </w:r>
      <w:r>
        <w:rPr>
          <w:rFonts w:hint="eastAsia" w:ascii="仿宋" w:hAnsi="仿宋" w:eastAsia="仿宋" w:cs="仿宋"/>
          <w:i w:val="0"/>
          <w:iCs w:val="0"/>
          <w:color w:val="auto"/>
          <w:sz w:val="28"/>
          <w:szCs w:val="28"/>
          <w:highlight w:val="none"/>
        </w:rPr>
        <w:t>行结算。</w:t>
      </w:r>
    </w:p>
    <w:p>
      <w:pPr>
        <w:spacing w:line="360" w:lineRule="auto"/>
        <w:ind w:firstLine="560" w:firstLineChars="200"/>
        <w:rPr>
          <w:rFonts w:hint="eastAsia" w:ascii="仿宋" w:hAnsi="仿宋" w:eastAsia="仿宋" w:cs="仿宋"/>
          <w:bCs w:val="0"/>
          <w:color w:val="000000"/>
          <w:sz w:val="28"/>
          <w:szCs w:val="28"/>
          <w:highlight w:val="none"/>
        </w:rPr>
      </w:pPr>
      <w:r>
        <w:rPr>
          <w:rFonts w:hint="eastAsia" w:ascii="仿宋" w:hAnsi="仿宋" w:eastAsia="仿宋" w:cs="仿宋"/>
          <w:color w:val="000000"/>
          <w:sz w:val="28"/>
          <w:szCs w:val="28"/>
          <w:highlight w:val="none"/>
          <w:lang w:val="en-US" w:eastAsia="zh-CN"/>
        </w:rPr>
        <w:t>11.4 如乙方</w:t>
      </w:r>
      <w:r>
        <w:rPr>
          <w:rFonts w:hint="eastAsia" w:ascii="仿宋" w:hAnsi="仿宋" w:eastAsia="仿宋" w:cs="仿宋"/>
          <w:bCs w:val="0"/>
          <w:color w:val="000000"/>
          <w:sz w:val="28"/>
          <w:szCs w:val="28"/>
          <w:highlight w:val="none"/>
        </w:rPr>
        <w:t>未按招标书承诺提供产品或服务、给</w:t>
      </w:r>
      <w:r>
        <w:rPr>
          <w:rFonts w:hint="eastAsia" w:ascii="仿宋" w:hAnsi="仿宋" w:eastAsia="仿宋" w:cs="仿宋"/>
          <w:bCs w:val="0"/>
          <w:color w:val="000000"/>
          <w:sz w:val="28"/>
          <w:szCs w:val="28"/>
          <w:highlight w:val="none"/>
          <w:lang w:eastAsia="zh-CN"/>
        </w:rPr>
        <w:t>甲方</w:t>
      </w:r>
      <w:r>
        <w:rPr>
          <w:rFonts w:hint="eastAsia" w:ascii="仿宋" w:hAnsi="仿宋" w:eastAsia="仿宋" w:cs="仿宋"/>
          <w:bCs w:val="0"/>
          <w:color w:val="000000"/>
          <w:sz w:val="28"/>
          <w:szCs w:val="28"/>
          <w:highlight w:val="none"/>
        </w:rPr>
        <w:t>造成重大安全事故、因自身原因无法履行合同严重影响主体项目</w:t>
      </w:r>
      <w:r>
        <w:rPr>
          <w:rFonts w:hint="eastAsia" w:ascii="仿宋" w:hAnsi="仿宋" w:eastAsia="仿宋" w:cs="仿宋"/>
          <w:bCs w:val="0"/>
          <w:color w:val="000000"/>
          <w:sz w:val="28"/>
          <w:szCs w:val="28"/>
          <w:highlight w:val="none"/>
          <w:lang w:eastAsia="zh-CN"/>
        </w:rPr>
        <w:t>推进</w:t>
      </w:r>
      <w:r>
        <w:rPr>
          <w:rFonts w:hint="eastAsia" w:ascii="仿宋" w:hAnsi="仿宋" w:eastAsia="仿宋" w:cs="仿宋"/>
          <w:bCs w:val="0"/>
          <w:color w:val="000000"/>
          <w:sz w:val="28"/>
          <w:szCs w:val="28"/>
          <w:highlight w:val="none"/>
        </w:rPr>
        <w:t>等情况，</w:t>
      </w:r>
      <w:r>
        <w:rPr>
          <w:rFonts w:hint="eastAsia" w:ascii="仿宋" w:hAnsi="仿宋" w:eastAsia="仿宋" w:cs="仿宋"/>
          <w:bCs w:val="0"/>
          <w:color w:val="000000"/>
          <w:sz w:val="28"/>
          <w:szCs w:val="28"/>
          <w:highlight w:val="none"/>
          <w:lang w:eastAsia="zh-CN"/>
        </w:rPr>
        <w:t>甲方</w:t>
      </w:r>
      <w:r>
        <w:rPr>
          <w:rFonts w:hint="eastAsia" w:ascii="仿宋" w:hAnsi="仿宋" w:eastAsia="仿宋" w:cs="仿宋"/>
          <w:bCs w:val="0"/>
          <w:color w:val="000000"/>
          <w:sz w:val="28"/>
          <w:szCs w:val="28"/>
          <w:highlight w:val="none"/>
        </w:rPr>
        <w:t>有权终止合同，且不退还履约保证金。</w:t>
      </w:r>
    </w:p>
    <w:p>
      <w:pPr>
        <w:spacing w:line="360" w:lineRule="auto"/>
        <w:ind w:firstLine="560" w:firstLineChars="200"/>
        <w:rPr>
          <w:rFonts w:ascii="Times New Roman" w:hAnsi="Times New Roman" w:eastAsia="宋体" w:cs="Times New Roman"/>
          <w:color w:val="auto"/>
          <w:sz w:val="21"/>
          <w:szCs w:val="22"/>
          <w:highlight w:val="none"/>
        </w:rPr>
      </w:pPr>
      <w:r>
        <w:rPr>
          <w:rFonts w:hint="eastAsia" w:ascii="仿宋" w:hAnsi="仿宋" w:eastAsia="仿宋" w:cs="仿宋"/>
          <w:color w:val="000000"/>
          <w:sz w:val="28"/>
          <w:szCs w:val="28"/>
          <w:highlight w:val="none"/>
          <w:lang w:val="en-US" w:eastAsia="zh-CN"/>
        </w:rPr>
        <w:t xml:space="preserve">11.5 </w:t>
      </w:r>
      <w:r>
        <w:rPr>
          <w:rFonts w:hint="eastAsia" w:ascii="仿宋" w:hAnsi="仿宋" w:eastAsia="仿宋" w:cs="仿宋"/>
          <w:color w:val="000000"/>
          <w:sz w:val="28"/>
          <w:szCs w:val="28"/>
          <w:highlight w:val="none"/>
          <w:lang w:eastAsia="zh-CN"/>
        </w:rPr>
        <w:t>如</w:t>
      </w:r>
      <w:r>
        <w:rPr>
          <w:rFonts w:hint="eastAsia" w:ascii="仿宋" w:hAnsi="仿宋" w:eastAsia="仿宋" w:cs="仿宋"/>
          <w:color w:val="000000"/>
          <w:sz w:val="28"/>
          <w:szCs w:val="28"/>
          <w:highlight w:val="none"/>
        </w:rPr>
        <w:t>在合同实施阶段</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发现</w:t>
      </w:r>
      <w:r>
        <w:rPr>
          <w:rFonts w:hint="eastAsia" w:ascii="仿宋" w:hAnsi="仿宋" w:eastAsia="仿宋" w:cs="仿宋"/>
          <w:color w:val="000000"/>
          <w:sz w:val="28"/>
          <w:szCs w:val="28"/>
          <w:highlight w:val="none"/>
          <w:lang w:eastAsia="zh-CN"/>
        </w:rPr>
        <w:t>乙方</w:t>
      </w:r>
      <w:r>
        <w:rPr>
          <w:rFonts w:hint="eastAsia" w:ascii="仿宋" w:hAnsi="仿宋" w:eastAsia="仿宋" w:cs="仿宋"/>
          <w:color w:val="000000"/>
          <w:sz w:val="28"/>
          <w:szCs w:val="28"/>
          <w:highlight w:val="none"/>
        </w:rPr>
        <w:t>在投标时提供了虚假资料，</w:t>
      </w:r>
      <w:r>
        <w:rPr>
          <w:rFonts w:hint="eastAsia" w:ascii="仿宋" w:hAnsi="仿宋" w:eastAsia="仿宋" w:cs="仿宋"/>
          <w:bCs w:val="0"/>
          <w:color w:val="000000"/>
          <w:sz w:val="28"/>
          <w:szCs w:val="28"/>
          <w:highlight w:val="none"/>
          <w:lang w:eastAsia="zh-CN"/>
        </w:rPr>
        <w:t>甲方</w:t>
      </w:r>
      <w:r>
        <w:rPr>
          <w:rFonts w:hint="eastAsia" w:ascii="仿宋" w:hAnsi="仿宋" w:eastAsia="仿宋" w:cs="仿宋"/>
          <w:bCs w:val="0"/>
          <w:color w:val="000000"/>
          <w:sz w:val="28"/>
          <w:szCs w:val="28"/>
          <w:highlight w:val="none"/>
        </w:rPr>
        <w:t>有权终止合同，</w:t>
      </w:r>
      <w:r>
        <w:rPr>
          <w:rFonts w:hint="eastAsia" w:ascii="仿宋" w:hAnsi="仿宋" w:eastAsia="仿宋" w:cs="仿宋"/>
          <w:color w:val="000000"/>
          <w:sz w:val="28"/>
          <w:szCs w:val="28"/>
          <w:highlight w:val="none"/>
        </w:rPr>
        <w:t>给</w:t>
      </w:r>
      <w:r>
        <w:rPr>
          <w:rFonts w:hint="eastAsia" w:ascii="仿宋" w:hAnsi="仿宋" w:eastAsia="仿宋" w:cs="仿宋"/>
          <w:color w:val="000000"/>
          <w:sz w:val="28"/>
          <w:szCs w:val="28"/>
          <w:highlight w:val="none"/>
          <w:lang w:eastAsia="zh-CN"/>
        </w:rPr>
        <w:t>甲方</w:t>
      </w:r>
      <w:r>
        <w:rPr>
          <w:rFonts w:hint="eastAsia" w:ascii="仿宋" w:hAnsi="仿宋" w:eastAsia="仿宋" w:cs="仿宋"/>
          <w:color w:val="000000"/>
          <w:sz w:val="28"/>
          <w:szCs w:val="28"/>
          <w:highlight w:val="none"/>
        </w:rPr>
        <w:t>造成损失的，</w:t>
      </w:r>
      <w:r>
        <w:rPr>
          <w:rFonts w:hint="eastAsia" w:ascii="仿宋" w:hAnsi="仿宋" w:eastAsia="仿宋" w:cs="仿宋"/>
          <w:color w:val="000000"/>
          <w:sz w:val="28"/>
          <w:szCs w:val="28"/>
          <w:highlight w:val="none"/>
          <w:lang w:eastAsia="zh-CN"/>
        </w:rPr>
        <w:t>乙方还应</w:t>
      </w:r>
      <w:r>
        <w:rPr>
          <w:rFonts w:hint="eastAsia" w:ascii="仿宋" w:hAnsi="仿宋" w:eastAsia="仿宋" w:cs="仿宋"/>
          <w:color w:val="000000"/>
          <w:sz w:val="28"/>
          <w:szCs w:val="28"/>
          <w:highlight w:val="none"/>
        </w:rPr>
        <w:t>依法承担违约赔偿责任。</w:t>
      </w:r>
    </w:p>
    <w:p>
      <w:pPr>
        <w:snapToGrid w:val="0"/>
        <w:spacing w:line="520" w:lineRule="exact"/>
        <w:ind w:firstLine="562" w:firstLineChars="200"/>
        <w:rPr>
          <w:rFonts w:ascii="黑体" w:hAnsi="黑体" w:eastAsia="黑体" w:cs="黑体"/>
          <w:b/>
          <w:bCs/>
          <w:i w:val="0"/>
          <w:iCs w:val="0"/>
          <w:color w:val="auto"/>
          <w:sz w:val="28"/>
          <w:szCs w:val="28"/>
          <w:highlight w:val="none"/>
        </w:rPr>
      </w:pPr>
      <w:r>
        <w:rPr>
          <w:rFonts w:hint="eastAsia" w:ascii="黑体" w:hAnsi="黑体" w:eastAsia="黑体" w:cs="黑体"/>
          <w:b/>
          <w:bCs/>
          <w:i w:val="0"/>
          <w:iCs w:val="0"/>
          <w:color w:val="auto"/>
          <w:sz w:val="28"/>
          <w:szCs w:val="28"/>
          <w:highlight w:val="none"/>
        </w:rPr>
        <w:t>第十二条  违约责任</w:t>
      </w:r>
    </w:p>
    <w:p>
      <w:pPr>
        <w:spacing w:line="520" w:lineRule="exact"/>
        <w:ind w:firstLine="560" w:firstLineChars="200"/>
        <w:rPr>
          <w:rFonts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12.1</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若乙方迟延提交（各阶段）咨询成果，每逾期一日应按</w:t>
      </w:r>
      <w:r>
        <w:rPr>
          <w:rFonts w:hint="eastAsia" w:ascii="仿宋" w:hAnsi="仿宋" w:eastAsia="仿宋" w:cs="仿宋"/>
          <w:i w:val="0"/>
          <w:iCs w:val="0"/>
          <w:color w:val="auto"/>
          <w:sz w:val="28"/>
          <w:szCs w:val="28"/>
          <w:highlight w:val="none"/>
          <w:u w:val="single"/>
        </w:rPr>
        <w:t>合同金额</w:t>
      </w:r>
      <w:r>
        <w:rPr>
          <w:rFonts w:hint="eastAsia" w:ascii="仿宋" w:hAnsi="仿宋" w:eastAsia="仿宋" w:cs="仿宋"/>
          <w:i w:val="0"/>
          <w:iCs w:val="0"/>
          <w:color w:val="auto"/>
          <w:sz w:val="28"/>
          <w:szCs w:val="28"/>
          <w:highlight w:val="none"/>
          <w:u w:val="single"/>
          <w:lang w:eastAsia="zh-CN"/>
        </w:rPr>
        <w:t>千分之二</w:t>
      </w:r>
      <w:r>
        <w:rPr>
          <w:rFonts w:hint="eastAsia" w:ascii="仿宋" w:hAnsi="仿宋" w:eastAsia="仿宋" w:cs="仿宋"/>
          <w:i w:val="0"/>
          <w:iCs w:val="0"/>
          <w:color w:val="auto"/>
          <w:sz w:val="28"/>
          <w:szCs w:val="28"/>
          <w:highlight w:val="none"/>
        </w:rPr>
        <w:t>的标准向甲方支付违约金；若迟延超过</w:t>
      </w:r>
      <w:r>
        <w:rPr>
          <w:rFonts w:hint="eastAsia" w:ascii="仿宋" w:hAnsi="仿宋" w:eastAsia="仿宋" w:cs="仿宋"/>
          <w:b/>
          <w:bCs/>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30 </w:t>
      </w:r>
      <w:r>
        <w:rPr>
          <w:rFonts w:hint="eastAsia" w:ascii="仿宋" w:hAnsi="仿宋" w:eastAsia="仿宋" w:cs="仿宋"/>
          <w:i w:val="0"/>
          <w:iCs w:val="0"/>
          <w:color w:val="auto"/>
          <w:sz w:val="28"/>
          <w:szCs w:val="28"/>
          <w:highlight w:val="none"/>
        </w:rPr>
        <w:t>个工作日，则甲方有权解除合同，乙方应按照合同金额</w:t>
      </w:r>
      <w:r>
        <w:rPr>
          <w:rFonts w:hint="eastAsia" w:ascii="仿宋" w:hAnsi="仿宋" w:eastAsia="仿宋" w:cs="仿宋"/>
          <w:i w:val="0"/>
          <w:iCs w:val="0"/>
          <w:color w:val="auto"/>
          <w:sz w:val="28"/>
          <w:szCs w:val="28"/>
          <w:highlight w:val="none"/>
          <w:u w:val="single"/>
        </w:rPr>
        <w:t>20%</w:t>
      </w:r>
      <w:r>
        <w:rPr>
          <w:rFonts w:hint="eastAsia" w:ascii="仿宋" w:hAnsi="仿宋" w:eastAsia="仿宋" w:cs="仿宋"/>
          <w:i w:val="0"/>
          <w:iCs w:val="0"/>
          <w:color w:val="auto"/>
          <w:sz w:val="28"/>
          <w:szCs w:val="28"/>
          <w:highlight w:val="none"/>
        </w:rPr>
        <w:t>的标准向甲方支付违约金，并承担由此给甲方造成的全部损失。</w:t>
      </w:r>
    </w:p>
    <w:p>
      <w:pPr>
        <w:spacing w:line="520" w:lineRule="exact"/>
        <w:ind w:firstLine="560" w:firstLineChars="200"/>
        <w:rPr>
          <w:rFonts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12.2</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如乙方提交的工作成果因不符合要求未能通过验收，乙方应无条件负责修改、完善，修改完善后提交合格成果的日期不得晚于本合同约定的提交日期，若迟延提交，按照本条第1款约定的标准承担违约责任。</w:t>
      </w:r>
    </w:p>
    <w:p>
      <w:pPr>
        <w:spacing w:line="520" w:lineRule="exact"/>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12.3</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甲方未能按时支付咨询费的</w:t>
      </w:r>
      <w:r>
        <w:rPr>
          <w:rFonts w:hint="eastAsia" w:ascii="仿宋_GB2312" w:hAnsi="仿宋_GB2312" w:eastAsia="仿宋_GB2312" w:cs="仿宋_GB2312"/>
          <w:i w:val="0"/>
          <w:iCs w:val="0"/>
          <w:color w:val="auto"/>
          <w:sz w:val="28"/>
          <w:szCs w:val="28"/>
          <w:highlight w:val="none"/>
        </w:rPr>
        <w:t>，</w:t>
      </w:r>
      <w:r>
        <w:rPr>
          <w:rFonts w:hint="eastAsia" w:ascii="仿宋" w:hAnsi="仿宋" w:eastAsia="仿宋" w:cs="仿宋"/>
          <w:i w:val="0"/>
          <w:iCs w:val="0"/>
          <w:color w:val="auto"/>
          <w:sz w:val="28"/>
          <w:szCs w:val="28"/>
          <w:highlight w:val="none"/>
        </w:rPr>
        <w:t>每逾期一日应按</w:t>
      </w:r>
      <w:r>
        <w:rPr>
          <w:rFonts w:hint="eastAsia" w:ascii="仿宋" w:hAnsi="仿宋" w:eastAsia="仿宋" w:cs="仿宋"/>
          <w:i w:val="0"/>
          <w:iCs w:val="0"/>
          <w:color w:val="auto"/>
          <w:sz w:val="28"/>
          <w:szCs w:val="28"/>
          <w:highlight w:val="none"/>
          <w:u w:val="single"/>
        </w:rPr>
        <w:t>未付金额万分之五</w:t>
      </w:r>
      <w:r>
        <w:rPr>
          <w:rFonts w:hint="eastAsia" w:ascii="仿宋" w:hAnsi="仿宋" w:eastAsia="仿宋" w:cs="仿宋"/>
          <w:i w:val="0"/>
          <w:iCs w:val="0"/>
          <w:color w:val="auto"/>
          <w:sz w:val="28"/>
          <w:szCs w:val="28"/>
          <w:highlight w:val="none"/>
        </w:rPr>
        <w:t>的标准向乙方支付违约金。</w:t>
      </w:r>
    </w:p>
    <w:p>
      <w:pPr>
        <w:spacing w:line="520" w:lineRule="exact"/>
        <w:ind w:firstLine="560" w:firstLineChars="200"/>
        <w:rPr>
          <w:rFonts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12.4</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乙方将本合同内容转包或者分包给第三方承担的，甲方有权利解除合同，乙方应按照合同金额</w:t>
      </w:r>
      <w:r>
        <w:rPr>
          <w:rFonts w:hint="eastAsia" w:ascii="仿宋" w:hAnsi="仿宋" w:eastAsia="仿宋" w:cs="仿宋"/>
          <w:i w:val="0"/>
          <w:iCs w:val="0"/>
          <w:color w:val="auto"/>
          <w:sz w:val="28"/>
          <w:szCs w:val="28"/>
          <w:highlight w:val="none"/>
          <w:u w:val="single"/>
        </w:rPr>
        <w:t xml:space="preserve"> 50%</w:t>
      </w:r>
      <w:r>
        <w:rPr>
          <w:rFonts w:hint="eastAsia" w:ascii="仿宋" w:hAnsi="仿宋" w:eastAsia="仿宋" w:cs="仿宋"/>
          <w:i w:val="0"/>
          <w:iCs w:val="0"/>
          <w:color w:val="auto"/>
          <w:sz w:val="28"/>
          <w:szCs w:val="28"/>
          <w:highlight w:val="none"/>
        </w:rPr>
        <w:t>的标准向甲方支付违约金，并承担由此给甲方造成的全部损失。</w:t>
      </w:r>
    </w:p>
    <w:p>
      <w:pPr>
        <w:spacing w:line="520" w:lineRule="exact"/>
        <w:ind w:firstLine="560" w:firstLineChars="200"/>
        <w:rPr>
          <w:rFonts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12.5</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如乙方违反约定，未经甲方同意，擅自对</w:t>
      </w:r>
      <w:r>
        <w:rPr>
          <w:rFonts w:hint="eastAsia" w:ascii="仿宋" w:hAnsi="仿宋" w:eastAsia="仿宋" w:cs="仿宋"/>
          <w:i w:val="0"/>
          <w:iCs w:val="0"/>
          <w:color w:val="auto"/>
          <w:sz w:val="28"/>
          <w:szCs w:val="28"/>
          <w:highlight w:val="none"/>
          <w:lang w:eastAsia="zh-CN"/>
        </w:rPr>
        <w:t>项目</w:t>
      </w:r>
      <w:r>
        <w:rPr>
          <w:rFonts w:hint="eastAsia" w:ascii="仿宋" w:hAnsi="仿宋" w:eastAsia="仿宋" w:cs="仿宋"/>
          <w:i w:val="0"/>
          <w:iCs w:val="0"/>
          <w:color w:val="auto"/>
          <w:sz w:val="28"/>
          <w:szCs w:val="28"/>
          <w:highlight w:val="none"/>
          <w:lang w:val="en-US" w:eastAsia="zh-CN"/>
        </w:rPr>
        <w:t>组成员</w:t>
      </w:r>
      <w:r>
        <w:rPr>
          <w:rFonts w:hint="eastAsia" w:ascii="仿宋" w:hAnsi="仿宋" w:eastAsia="仿宋" w:cs="仿宋"/>
          <w:i w:val="0"/>
          <w:iCs w:val="0"/>
          <w:color w:val="auto"/>
          <w:sz w:val="28"/>
          <w:szCs w:val="28"/>
          <w:highlight w:val="none"/>
        </w:rPr>
        <w:t>径行更换的，甲方有权</w:t>
      </w:r>
      <w:r>
        <w:rPr>
          <w:rFonts w:hint="eastAsia" w:ascii="仿宋" w:hAnsi="仿宋" w:eastAsia="仿宋" w:cs="仿宋"/>
          <w:i w:val="0"/>
          <w:iCs w:val="0"/>
          <w:color w:val="auto"/>
          <w:sz w:val="28"/>
          <w:szCs w:val="28"/>
          <w:highlight w:val="none"/>
          <w:lang w:eastAsia="zh-CN"/>
        </w:rPr>
        <w:t>终止合同，并</w:t>
      </w:r>
      <w:r>
        <w:rPr>
          <w:rFonts w:hint="eastAsia" w:ascii="仿宋" w:hAnsi="仿宋" w:eastAsia="仿宋" w:cs="仿宋"/>
          <w:i w:val="0"/>
          <w:iCs w:val="0"/>
          <w:color w:val="auto"/>
          <w:sz w:val="28"/>
          <w:szCs w:val="28"/>
          <w:highlight w:val="none"/>
        </w:rPr>
        <w:t>要求乙方按照</w:t>
      </w:r>
      <w:r>
        <w:rPr>
          <w:rFonts w:hint="eastAsia" w:ascii="仿宋" w:hAnsi="仿宋" w:eastAsia="仿宋" w:cs="仿宋"/>
          <w:b/>
          <w:bCs/>
          <w:i w:val="0"/>
          <w:iCs w:val="0"/>
          <w:color w:val="auto"/>
          <w:sz w:val="28"/>
          <w:szCs w:val="28"/>
          <w:highlight w:val="none"/>
          <w:u w:val="single"/>
        </w:rPr>
        <w:t xml:space="preserve"> </w:t>
      </w:r>
      <w:r>
        <w:rPr>
          <w:rFonts w:hint="eastAsia" w:ascii="仿宋" w:hAnsi="仿宋" w:eastAsia="仿宋" w:cs="仿宋"/>
          <w:b/>
          <w:bCs/>
          <w:i w:val="0"/>
          <w:iCs w:val="0"/>
          <w:color w:val="auto"/>
          <w:sz w:val="28"/>
          <w:szCs w:val="28"/>
          <w:highlight w:val="none"/>
          <w:u w:val="single"/>
          <w:lang w:val="en-US" w:eastAsia="zh-CN"/>
        </w:rPr>
        <w:t>5</w:t>
      </w:r>
      <w:r>
        <w:rPr>
          <w:rFonts w:hint="eastAsia" w:ascii="仿宋" w:hAnsi="仿宋" w:eastAsia="仿宋" w:cs="仿宋"/>
          <w:i w:val="0"/>
          <w:iCs w:val="0"/>
          <w:color w:val="auto"/>
          <w:sz w:val="28"/>
          <w:szCs w:val="28"/>
          <w:highlight w:val="none"/>
          <w:u w:val="single"/>
        </w:rPr>
        <w:t>万元/人次的标准</w:t>
      </w:r>
      <w:r>
        <w:rPr>
          <w:rFonts w:hint="eastAsia" w:ascii="仿宋" w:hAnsi="仿宋" w:eastAsia="仿宋" w:cs="仿宋"/>
          <w:i w:val="0"/>
          <w:iCs w:val="0"/>
          <w:color w:val="auto"/>
          <w:sz w:val="28"/>
          <w:szCs w:val="28"/>
          <w:highlight w:val="none"/>
        </w:rPr>
        <w:t>支付违约金。</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i w:val="0"/>
          <w:iCs w:val="0"/>
          <w:color w:val="auto"/>
          <w:sz w:val="28"/>
          <w:szCs w:val="28"/>
          <w:highlight w:val="none"/>
        </w:rPr>
        <w:t>12.6</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若乙方违反本合同保密义务或者有其他严重违约行为，甲方有权要求乙方支付相当于合同价款</w:t>
      </w:r>
      <w:r>
        <w:rPr>
          <w:rFonts w:hint="eastAsia" w:ascii="仿宋" w:hAnsi="仿宋" w:eastAsia="仿宋" w:cs="仿宋"/>
          <w:i w:val="0"/>
          <w:iCs w:val="0"/>
          <w:color w:val="auto"/>
          <w:sz w:val="28"/>
          <w:szCs w:val="28"/>
          <w:highlight w:val="none"/>
          <w:u w:val="single"/>
        </w:rPr>
        <w:t>20%</w:t>
      </w:r>
      <w:r>
        <w:rPr>
          <w:rFonts w:hint="eastAsia" w:ascii="仿宋" w:hAnsi="仿宋" w:eastAsia="仿宋" w:cs="仿宋"/>
          <w:i w:val="0"/>
          <w:iCs w:val="0"/>
          <w:color w:val="auto"/>
          <w:sz w:val="28"/>
          <w:szCs w:val="28"/>
          <w:highlight w:val="none"/>
        </w:rPr>
        <w:t>的违约金并承担由此给甲方造成的全部</w:t>
      </w:r>
      <w:r>
        <w:rPr>
          <w:rFonts w:hint="eastAsia" w:ascii="仿宋" w:hAnsi="仿宋" w:eastAsia="仿宋" w:cs="仿宋"/>
          <w:color w:val="auto"/>
          <w:sz w:val="28"/>
          <w:szCs w:val="28"/>
          <w:highlight w:val="none"/>
        </w:rPr>
        <w:t>损失。</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12.7</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若因乙方所提供的咨询成果存在侵害他人知识产权等权利瑕疵，乙方负责处理并承担法律后果，造成甲方损失，乙方应当赔偿甲方的全部损失。</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12.8</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本条规定的应支付的违约金，可以从待付的合同款项中直接扣减。</w:t>
      </w:r>
    </w:p>
    <w:p>
      <w:pPr>
        <w:snapToGrid w:val="0"/>
        <w:spacing w:line="520" w:lineRule="exact"/>
        <w:ind w:firstLine="562" w:firstLineChars="200"/>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第十三条  争议解决</w:t>
      </w:r>
    </w:p>
    <w:p>
      <w:pPr>
        <w:snapToGrid w:val="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双方因履行本合同而发生的争议，应协商解决。协商不成的，依法向甲方所在地人民法院起诉。</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本合同中的任何条款如因任何原因导致全部或部分无效，本合同的其他条款仍有效，应当予以履行。</w:t>
      </w:r>
    </w:p>
    <w:p>
      <w:pPr>
        <w:spacing w:line="520" w:lineRule="exact"/>
        <w:ind w:firstLine="562" w:firstLineChars="200"/>
        <w:rPr>
          <w:rFonts w:ascii="黑体" w:hAnsi="黑体" w:eastAsia="黑体" w:cs="黑体"/>
          <w:color w:val="auto"/>
          <w:sz w:val="28"/>
          <w:szCs w:val="28"/>
          <w:highlight w:val="none"/>
        </w:rPr>
      </w:pPr>
      <w:r>
        <w:rPr>
          <w:rFonts w:hint="eastAsia" w:ascii="黑体" w:hAnsi="黑体" w:eastAsia="黑体" w:cs="黑体"/>
          <w:b/>
          <w:color w:val="auto"/>
          <w:sz w:val="28"/>
          <w:szCs w:val="28"/>
          <w:highlight w:val="none"/>
        </w:rPr>
        <w:t>第十四条  其它</w:t>
      </w:r>
      <w:r>
        <w:rPr>
          <w:rFonts w:hint="eastAsia" w:ascii="黑体" w:hAnsi="黑体" w:eastAsia="黑体" w:cs="黑体"/>
          <w:color w:val="auto"/>
          <w:sz w:val="28"/>
          <w:szCs w:val="28"/>
          <w:highlight w:val="none"/>
        </w:rPr>
        <w:t xml:space="preserve"> </w:t>
      </w:r>
    </w:p>
    <w:p>
      <w:pPr>
        <w:spacing w:line="520" w:lineRule="exact"/>
        <w:ind w:firstLine="560" w:firstLineChars="200"/>
        <w:rPr>
          <w:rFonts w:ascii="仿宋" w:hAnsi="仿宋" w:eastAsia="仿宋" w:cs="仿宋"/>
          <w:color w:val="auto"/>
          <w:spacing w:val="-6"/>
          <w:sz w:val="28"/>
          <w:szCs w:val="28"/>
          <w:highlight w:val="none"/>
          <w:u w:val="single"/>
        </w:rPr>
      </w:pPr>
      <w:r>
        <w:rPr>
          <w:rFonts w:hint="eastAsia" w:ascii="仿宋" w:hAnsi="仿宋" w:eastAsia="仿宋" w:cs="仿宋"/>
          <w:color w:val="auto"/>
          <w:sz w:val="28"/>
          <w:szCs w:val="28"/>
          <w:highlight w:val="none"/>
        </w:rPr>
        <w:t>14.1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pacing w:val="-6"/>
          <w:sz w:val="28"/>
          <w:szCs w:val="28"/>
          <w:highlight w:val="none"/>
        </w:rPr>
        <w:t>本合同一式</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份，甲方执</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份，乙方执</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份，具有同等法律效力。</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本合同经甲乙双方签字盖章后生效。</w:t>
      </w:r>
      <w:r>
        <w:rPr>
          <w:rFonts w:hint="eastAsia" w:ascii="仿宋" w:hAnsi="仿宋" w:eastAsia="仿宋" w:cs="仿宋"/>
          <w:color w:val="auto"/>
          <w:sz w:val="28"/>
          <w:szCs w:val="28"/>
          <w:highlight w:val="none"/>
        </w:rPr>
        <w:tab/>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（以下无正文）</w:t>
      </w:r>
    </w:p>
    <w:p>
      <w:pPr>
        <w:spacing w:line="520" w:lineRule="exact"/>
        <w:ind w:firstLine="560" w:firstLineChars="200"/>
        <w:rPr>
          <w:rFonts w:ascii="仿宋" w:hAnsi="仿宋" w:eastAsia="仿宋" w:cs="仿宋"/>
          <w:color w:val="auto"/>
          <w:sz w:val="28"/>
          <w:szCs w:val="28"/>
          <w:highlight w:val="none"/>
        </w:rPr>
      </w:pPr>
    </w:p>
    <w:p>
      <w:pPr>
        <w:pStyle w:val="6"/>
        <w:rPr>
          <w:color w:val="auto"/>
          <w:highlight w:val="none"/>
        </w:rPr>
      </w:pPr>
    </w:p>
    <w:p>
      <w:pPr>
        <w:spacing w:line="520" w:lineRule="exact"/>
        <w:ind w:firstLine="560" w:firstLineChars="200"/>
        <w:rPr>
          <w:rFonts w:ascii="仿宋" w:hAnsi="仿宋" w:eastAsia="仿宋" w:cs="仿宋"/>
          <w:bCs/>
          <w:color w:val="auto"/>
          <w:sz w:val="28"/>
          <w:szCs w:val="28"/>
          <w:highlight w:val="none"/>
        </w:rPr>
      </w:pPr>
    </w:p>
    <w:p>
      <w:pPr>
        <w:spacing w:line="520" w:lineRule="exact"/>
        <w:rPr>
          <w:rFonts w:ascii="仿宋" w:hAnsi="仿宋" w:eastAsia="仿宋" w:cs="仿宋"/>
          <w:b/>
          <w:color w:val="auto"/>
          <w:sz w:val="28"/>
          <w:szCs w:val="28"/>
          <w:highlight w:val="none"/>
        </w:rPr>
      </w:pPr>
    </w:p>
    <w:p>
      <w:pPr>
        <w:spacing w:line="520" w:lineRule="exact"/>
        <w:ind w:firstLine="562" w:firstLineChars="200"/>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甲方</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乙方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p>
    <w:p>
      <w:pPr>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                    授权代表：</w:t>
      </w:r>
    </w:p>
    <w:p>
      <w:pPr>
        <w:spacing w:line="520" w:lineRule="exact"/>
        <w:ind w:firstLine="560" w:firstLineChars="200"/>
        <w:rPr>
          <w:rFonts w:hint="eastAsia" w:ascii="仿宋" w:hAnsi="仿宋" w:eastAsia="仿宋" w:cs="仿宋"/>
          <w:color w:val="auto"/>
          <w:sz w:val="28"/>
          <w:szCs w:val="28"/>
          <w:highlight w:val="none"/>
        </w:rPr>
      </w:pPr>
    </w:p>
    <w:p>
      <w:pPr>
        <w:spacing w:line="520" w:lineRule="exact"/>
        <w:ind w:firstLine="560" w:firstLineChars="200"/>
        <w:rPr>
          <w:rFonts w:ascii="仿宋_GB2312" w:hAnsi="仿宋_GB2312" w:eastAsia="仿宋_GB2312" w:cs="仿宋_GB2312"/>
          <w:color w:val="auto"/>
          <w:sz w:val="32"/>
          <w:szCs w:val="32"/>
          <w:highlight w:val="none"/>
        </w:rPr>
      </w:pPr>
      <w:r>
        <w:rPr>
          <w:rFonts w:hint="eastAsia" w:ascii="仿宋" w:hAnsi="仿宋" w:eastAsia="仿宋" w:cs="仿宋"/>
          <w:color w:val="auto"/>
          <w:sz w:val="28"/>
          <w:szCs w:val="28"/>
          <w:highlight w:val="none"/>
        </w:rPr>
        <w:t>时间：    年   月  日         时间：   年   月   日</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3"/>
        <w:rPr>
          <w:rFonts w:hint="eastAsia"/>
          <w:highlight w:val="none"/>
        </w:rPr>
      </w:pPr>
      <w:r>
        <w:rPr>
          <w:rFonts w:hint="eastAsia" w:ascii="宋体" w:hAnsi="宋体" w:cs="宋体"/>
          <w:sz w:val="24"/>
          <w:szCs w:val="24"/>
          <w:highlight w:val="none"/>
        </w:rPr>
        <w:br w:type="page"/>
      </w:r>
    </w:p>
    <w:p>
      <w:pPr>
        <w:pStyle w:val="23"/>
        <w:rPr>
          <w:rFonts w:hint="eastAsia"/>
          <w:highlight w:val="none"/>
        </w:rPr>
      </w:pPr>
      <w:bookmarkStart w:id="152" w:name="_Toc16431"/>
      <w:bookmarkStart w:id="153" w:name="_Toc701"/>
      <w:bookmarkStart w:id="154" w:name="_Toc22945"/>
      <w:r>
        <w:rPr>
          <w:rFonts w:hint="eastAsia"/>
          <w:highlight w:val="none"/>
        </w:rPr>
        <w:t>第五章  技术标准和要求</w:t>
      </w:r>
      <w:bookmarkEnd w:id="152"/>
      <w:bookmarkEnd w:id="153"/>
      <w:bookmarkEnd w:id="154"/>
    </w:p>
    <w:p>
      <w:pPr>
        <w:adjustRightInd w:val="0"/>
        <w:snapToGrid w:val="0"/>
        <w:spacing w:line="40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rPr>
        <w:t>1. 招标项目概况</w:t>
      </w:r>
    </w:p>
    <w:p>
      <w:pPr>
        <w:adjustRightInd w:val="0"/>
        <w:snapToGrid w:val="0"/>
        <w:spacing w:line="400" w:lineRule="exact"/>
        <w:ind w:firstLine="420" w:firstLineChars="200"/>
        <w:jc w:val="left"/>
        <w:rPr>
          <w:rFonts w:hint="eastAsia" w:ascii="宋体" w:hAnsi="宋体" w:cs="宋体"/>
          <w:bCs/>
          <w:szCs w:val="21"/>
          <w:highlight w:val="none"/>
          <w:lang w:eastAsia="zh-CN"/>
        </w:rPr>
      </w:pPr>
      <w:r>
        <w:rPr>
          <w:rFonts w:hint="eastAsia" w:ascii="宋体" w:hAnsi="宋体" w:cs="宋体"/>
          <w:szCs w:val="21"/>
          <w:highlight w:val="none"/>
        </w:rPr>
        <w:t>1.1 项目名称：重</w:t>
      </w:r>
      <w:r>
        <w:rPr>
          <w:rFonts w:hint="eastAsia" w:ascii="宋体" w:hAnsi="宋体" w:cs="宋体"/>
          <w:bCs/>
          <w:szCs w:val="21"/>
          <w:highlight w:val="none"/>
        </w:rPr>
        <w:t>庆新机场</w:t>
      </w:r>
      <w:r>
        <w:rPr>
          <w:rFonts w:hint="eastAsia" w:ascii="宋体" w:hAnsi="宋体" w:cs="宋体"/>
          <w:bCs/>
          <w:szCs w:val="21"/>
          <w:highlight w:val="none"/>
          <w:lang w:eastAsia="zh-CN"/>
        </w:rPr>
        <w:t>防洪专项研究</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1.2 项目地址：见招标公告。</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1.3 项目概况：见招标公告。</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1.4 招标范围：见招标公告。</w:t>
      </w:r>
    </w:p>
    <w:p>
      <w:pPr>
        <w:adjustRightInd w:val="0"/>
        <w:snapToGrid w:val="0"/>
        <w:spacing w:line="40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rPr>
        <w:t>2. 技术要求</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 采用的技术标准：国家、行业、地方相关法律法规要求。</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2.2 工期安排：见招标公告。</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2.3 质量要求：</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2.3.1 重庆新机场</w:t>
      </w:r>
      <w:r>
        <w:rPr>
          <w:rFonts w:hint="eastAsia" w:ascii="宋体" w:hAnsi="宋体" w:cs="宋体"/>
          <w:szCs w:val="21"/>
          <w:highlight w:val="none"/>
          <w:lang w:eastAsia="zh-CN"/>
        </w:rPr>
        <w:t>防洪专项研究</w:t>
      </w:r>
      <w:r>
        <w:rPr>
          <w:rFonts w:hint="eastAsia" w:ascii="宋体" w:hAnsi="宋体" w:cs="宋体"/>
          <w:szCs w:val="21"/>
          <w:highlight w:val="none"/>
        </w:rPr>
        <w:t>过程应符合《中华人民共和国防洪法》《防洪标准》《水利水电工程设计洪水计算规范》</w:t>
      </w:r>
      <w:r>
        <w:rPr>
          <w:rFonts w:hint="eastAsia" w:ascii="宋体" w:hAnsi="宋体" w:cs="宋体"/>
          <w:szCs w:val="21"/>
          <w:highlight w:val="none"/>
          <w:lang w:eastAsia="zh-CN"/>
        </w:rPr>
        <w:t>等法律法规和行业规范。</w:t>
      </w:r>
      <w:r>
        <w:rPr>
          <w:rFonts w:hint="eastAsia" w:ascii="宋体" w:hAnsi="宋体" w:cs="宋体"/>
          <w:szCs w:val="21"/>
          <w:highlight w:val="none"/>
        </w:rPr>
        <w:t>规划应</w:t>
      </w:r>
      <w:r>
        <w:rPr>
          <w:rFonts w:hint="eastAsia" w:ascii="宋体" w:hAnsi="宋体" w:cs="宋体"/>
          <w:szCs w:val="21"/>
          <w:highlight w:val="none"/>
          <w:u w:val="none"/>
        </w:rPr>
        <w:t>区分</w:t>
      </w:r>
      <w:r>
        <w:rPr>
          <w:rFonts w:hint="eastAsia" w:ascii="宋体" w:hAnsi="宋体" w:cs="宋体"/>
          <w:szCs w:val="21"/>
          <w:highlight w:val="none"/>
          <w:u w:val="single"/>
        </w:rPr>
        <w:t>重庆新机场近期和远期工程</w:t>
      </w:r>
      <w:r>
        <w:rPr>
          <w:rFonts w:hint="eastAsia" w:ascii="宋体" w:hAnsi="宋体" w:cs="宋体"/>
          <w:szCs w:val="21"/>
          <w:highlight w:val="none"/>
          <w:lang w:eastAsia="zh-CN"/>
        </w:rPr>
        <w:t>。</w:t>
      </w:r>
      <w:r>
        <w:rPr>
          <w:rFonts w:hint="eastAsia" w:ascii="宋体" w:hAnsi="宋体" w:cs="宋体"/>
          <w:szCs w:val="21"/>
          <w:highlight w:val="none"/>
        </w:rPr>
        <w:t>范围应覆盖</w:t>
      </w:r>
      <w:r>
        <w:rPr>
          <w:rFonts w:hint="eastAsia" w:ascii="宋体" w:hAnsi="宋体" w:cs="宋体"/>
          <w:szCs w:val="21"/>
          <w:highlight w:val="none"/>
          <w:u w:val="single"/>
        </w:rPr>
        <w:t>重庆新机场</w:t>
      </w:r>
      <w:r>
        <w:rPr>
          <w:rFonts w:hint="eastAsia" w:hAnsi="宋体" w:cs="宋体"/>
          <w:szCs w:val="21"/>
          <w:highlight w:val="none"/>
          <w:u w:val="single"/>
          <w:lang w:eastAsia="zh-CN"/>
        </w:rPr>
        <w:t>近期和远期范围</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以及</w:t>
      </w:r>
      <w:r>
        <w:rPr>
          <w:rFonts w:hint="eastAsia" w:ascii="宋体" w:hAnsi="宋体" w:cs="宋体"/>
          <w:szCs w:val="21"/>
          <w:highlight w:val="none"/>
          <w:u w:val="single"/>
        </w:rPr>
        <w:t>工程可能影响的场区外流域或区域</w:t>
      </w:r>
      <w:r>
        <w:rPr>
          <w:rFonts w:hint="eastAsia" w:ascii="宋体" w:hAnsi="宋体" w:cs="宋体"/>
          <w:szCs w:val="21"/>
          <w:highlight w:val="none"/>
        </w:rPr>
        <w:t>，其中近期规划应基于远期规划的研究成果开展。内容和深度须满足行业审批要求和设计、建设需要</w:t>
      </w:r>
      <w:r>
        <w:rPr>
          <w:rFonts w:hint="eastAsia" w:ascii="宋体" w:hAnsi="宋体" w:cs="宋体"/>
          <w:szCs w:val="21"/>
          <w:highlight w:val="none"/>
          <w:lang w:eastAsia="zh-CN"/>
        </w:rPr>
        <w:t>，以及</w:t>
      </w:r>
      <w:r>
        <w:rPr>
          <w:rFonts w:hint="eastAsia" w:ascii="宋体" w:hAnsi="宋体" w:cs="宋体"/>
          <w:szCs w:val="21"/>
          <w:highlight w:val="none"/>
          <w:u w:val="single"/>
        </w:rPr>
        <w:t>新机场预可研、可研、总规报告编制</w:t>
      </w:r>
      <w:r>
        <w:rPr>
          <w:rFonts w:hint="eastAsia" w:ascii="宋体" w:hAnsi="宋体" w:cs="宋体"/>
          <w:szCs w:val="21"/>
          <w:highlight w:val="none"/>
          <w:u w:val="single"/>
          <w:lang w:eastAsia="zh-CN"/>
        </w:rPr>
        <w:t>、审批</w:t>
      </w:r>
      <w:r>
        <w:rPr>
          <w:rFonts w:hint="eastAsia" w:ascii="宋体" w:hAnsi="宋体" w:cs="宋体"/>
          <w:szCs w:val="21"/>
          <w:highlight w:val="none"/>
          <w:u w:val="single"/>
        </w:rPr>
        <w:t>和</w:t>
      </w:r>
      <w:r>
        <w:rPr>
          <w:rFonts w:hint="eastAsia" w:ascii="宋体" w:hAnsi="宋体" w:cs="宋体"/>
          <w:szCs w:val="21"/>
          <w:highlight w:val="none"/>
          <w:u w:val="single"/>
          <w:lang w:eastAsia="zh-CN"/>
        </w:rPr>
        <w:t>综合交通枢纽工程</w:t>
      </w:r>
      <w:r>
        <w:rPr>
          <w:rFonts w:hint="eastAsia" w:ascii="宋体" w:hAnsi="宋体" w:cs="宋体"/>
          <w:szCs w:val="21"/>
          <w:highlight w:val="none"/>
          <w:u w:val="single"/>
        </w:rPr>
        <w:t>立项（代可研）报告编制需求</w:t>
      </w:r>
      <w:r>
        <w:rPr>
          <w:rFonts w:hint="eastAsia" w:ascii="宋体" w:hAnsi="宋体" w:cs="宋体"/>
          <w:szCs w:val="21"/>
          <w:highlight w:val="none"/>
        </w:rPr>
        <w:t>，包括但不限于：</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（1）水文分析计算：</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① 实地调查水系现状，梳理水系治理防洪存在的主要问题。调查规划范围内已有涉河建筑物，为本次规划提供水文分析的边界条件，统计规划范围内涉河建筑物的有关内容。</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② 水文分析计算。搜集最新气象暴雨资料，根据流域情况，开展规划区域干支流水系不同河段设计洪水成果、洪水水面线；对规划范围内全河段进行水力要素分析、壅水分析计算；</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（2）规划总体布局：根据河流洪灾类型、自然条件、结构形态、机场用地布局、技术经济条件及流域防洪规划等，合理确定总体布局。</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（3）涉河方案设计：</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① 根据河道地形、水文条件，提出规划范围内河道制导线、河道治理方案（堤防类型、坡比、堤身型式）、水系改造方案、不同河段处置方式等，明确机场</w:t>
      </w:r>
      <w:r>
        <w:rPr>
          <w:rFonts w:hint="eastAsia" w:ascii="宋体" w:hAnsi="宋体" w:cs="宋体"/>
          <w:szCs w:val="21"/>
          <w:highlight w:val="none"/>
          <w:lang w:eastAsia="zh-CN"/>
        </w:rPr>
        <w:t>近期和远期</w:t>
      </w:r>
      <w:r>
        <w:rPr>
          <w:rFonts w:hint="eastAsia" w:ascii="宋体" w:hAnsi="宋体" w:cs="宋体"/>
          <w:szCs w:val="21"/>
          <w:highlight w:val="none"/>
        </w:rPr>
        <w:t>工程建设后如何排水、如何防洪等实际问题，作为初步成果。与重庆新机场预可研、可研、总规报告编制和</w:t>
      </w:r>
      <w:r>
        <w:rPr>
          <w:rFonts w:hint="eastAsia" w:ascii="宋体" w:hAnsi="宋体" w:cs="宋体"/>
          <w:szCs w:val="21"/>
          <w:highlight w:val="none"/>
          <w:lang w:eastAsia="zh-CN"/>
        </w:rPr>
        <w:t>综合交通枢纽工程</w:t>
      </w:r>
      <w:r>
        <w:rPr>
          <w:rFonts w:hint="eastAsia" w:ascii="宋体" w:hAnsi="宋体" w:cs="宋体"/>
          <w:szCs w:val="21"/>
          <w:highlight w:val="none"/>
        </w:rPr>
        <w:t>立项（代可研）报告编制进行协调配合，在保证行洪安全、河势稳定、河道岸线有效管理的基础上，确定初步治理方案；</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② 初步分析河道地质条件，对治理方案选定的堤防型式、坡比设置提供支撑；</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③ 根据推荐的制导线方案，确定整个区域不同河段制导线控制坐标和高程控制要求；</w:t>
      </w:r>
    </w:p>
    <w:p>
      <w:pPr>
        <w:spacing w:line="400" w:lineRule="exact"/>
        <w:ind w:firstLine="420" w:firstLineChars="200"/>
        <w:jc w:val="left"/>
        <w:rPr>
          <w:rFonts w:hint="eastAsia"/>
          <w:highlight w:val="none"/>
        </w:rPr>
      </w:pPr>
      <w:r>
        <w:rPr>
          <w:rFonts w:hint="eastAsia" w:ascii="宋体" w:hAnsi="宋体" w:cs="宋体"/>
          <w:szCs w:val="21"/>
          <w:highlight w:val="none"/>
        </w:rPr>
        <w:t>④ 平面、典型剖面图纸绘制。</w:t>
      </w:r>
    </w:p>
    <w:p>
      <w:pPr>
        <w:adjustRightInd w:val="0"/>
        <w:snapToGrid w:val="0"/>
        <w:spacing w:line="40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）根据</w:t>
      </w:r>
      <w:r>
        <w:rPr>
          <w:rFonts w:hint="eastAsia" w:ascii="宋体" w:hAnsi="宋体" w:cs="宋体"/>
          <w:szCs w:val="21"/>
          <w:highlight w:val="none"/>
        </w:rPr>
        <w:t>重庆新机场预可研、可研、总规报告编制和</w:t>
      </w:r>
      <w:r>
        <w:rPr>
          <w:rFonts w:hint="eastAsia" w:ascii="宋体" w:hAnsi="宋体" w:cs="宋体"/>
          <w:szCs w:val="21"/>
          <w:highlight w:val="none"/>
          <w:lang w:eastAsia="zh-CN"/>
        </w:rPr>
        <w:t>综合交通枢纽工程</w:t>
      </w:r>
      <w:r>
        <w:rPr>
          <w:rFonts w:hint="eastAsia" w:ascii="宋体" w:hAnsi="宋体" w:cs="宋体"/>
          <w:szCs w:val="21"/>
          <w:highlight w:val="none"/>
        </w:rPr>
        <w:t>立项（代可研）报告编制</w:t>
      </w:r>
      <w:r>
        <w:rPr>
          <w:rFonts w:hint="eastAsia" w:hAnsi="宋体" w:cs="宋体"/>
          <w:color w:val="auto"/>
          <w:sz w:val="21"/>
          <w:szCs w:val="21"/>
          <w:highlight w:val="none"/>
          <w:u w:val="none"/>
          <w:lang w:eastAsia="zh-CN"/>
        </w:rPr>
        <w:t>需求，</w:t>
      </w:r>
      <w:r>
        <w:rPr>
          <w:rFonts w:hint="eastAsia" w:hAnsi="宋体" w:eastAsia="宋体" w:cs="宋体"/>
          <w:color w:val="auto"/>
          <w:sz w:val="21"/>
          <w:szCs w:val="21"/>
          <w:highlight w:val="none"/>
          <w:u w:val="none"/>
        </w:rPr>
        <w:t>其他需要配合研究的内容，</w:t>
      </w:r>
      <w:r>
        <w:rPr>
          <w:rFonts w:hint="eastAsia" w:hAnsi="宋体" w:eastAsia="宋体" w:cs="宋体"/>
          <w:color w:val="auto"/>
          <w:sz w:val="21"/>
          <w:szCs w:val="21"/>
          <w:highlight w:val="none"/>
          <w:u w:val="none"/>
          <w:lang w:eastAsia="zh-CN"/>
        </w:rPr>
        <w:t>如：</w:t>
      </w:r>
      <w:r>
        <w:rPr>
          <w:rFonts w:hint="eastAsia" w:hAnsi="宋体" w:eastAsia="宋体" w:cs="宋体"/>
          <w:color w:val="auto"/>
          <w:sz w:val="21"/>
          <w:szCs w:val="21"/>
          <w:highlight w:val="none"/>
          <w:u w:val="none"/>
        </w:rPr>
        <w:t>场区标高</w:t>
      </w:r>
      <w:r>
        <w:rPr>
          <w:rFonts w:hint="eastAsia" w:hAnsi="宋体" w:cs="宋体"/>
          <w:color w:val="auto"/>
          <w:sz w:val="21"/>
          <w:szCs w:val="21"/>
          <w:highlight w:val="none"/>
          <w:u w:val="none"/>
          <w:lang w:eastAsia="zh-CN"/>
        </w:rPr>
        <w:t>，</w:t>
      </w:r>
      <w:r>
        <w:rPr>
          <w:rFonts w:hint="eastAsia" w:hAnsi="宋体" w:cs="宋体"/>
          <w:szCs w:val="21"/>
          <w:highlight w:val="none"/>
          <w:u w:val="none"/>
        </w:rPr>
        <w:t>机场</w:t>
      </w:r>
      <w:r>
        <w:rPr>
          <w:rFonts w:hint="eastAsia" w:hAnsi="宋体" w:cs="宋体"/>
          <w:szCs w:val="21"/>
          <w:highlight w:val="none"/>
          <w:u w:val="none"/>
          <w:lang w:eastAsia="zh-CN"/>
        </w:rPr>
        <w:t>近期和远期</w:t>
      </w:r>
      <w:r>
        <w:rPr>
          <w:rFonts w:hint="eastAsia" w:hAnsi="宋体" w:eastAsia="宋体" w:cs="宋体"/>
          <w:color w:val="auto"/>
          <w:sz w:val="21"/>
          <w:szCs w:val="21"/>
          <w:highlight w:val="none"/>
          <w:u w:val="none"/>
        </w:rPr>
        <w:t>防洪措施</w:t>
      </w:r>
      <w:r>
        <w:rPr>
          <w:rFonts w:hint="eastAsia" w:hAnsi="宋体" w:cs="宋体"/>
          <w:color w:val="auto"/>
          <w:sz w:val="21"/>
          <w:szCs w:val="21"/>
          <w:highlight w:val="none"/>
          <w:u w:val="none"/>
          <w:lang w:eastAsia="zh-CN"/>
        </w:rPr>
        <w:t>，</w:t>
      </w:r>
      <w:r>
        <w:rPr>
          <w:rFonts w:hint="eastAsia" w:hAnsi="宋体" w:eastAsia="宋体" w:cs="宋体"/>
          <w:color w:val="auto"/>
          <w:sz w:val="21"/>
          <w:szCs w:val="21"/>
          <w:highlight w:val="none"/>
          <w:u w:val="none"/>
        </w:rPr>
        <w:t>调蓄水池规划</w:t>
      </w:r>
      <w:r>
        <w:rPr>
          <w:rFonts w:hint="eastAsia" w:hAnsi="宋体" w:cs="宋体"/>
          <w:color w:val="auto"/>
          <w:sz w:val="21"/>
          <w:szCs w:val="21"/>
          <w:highlight w:val="none"/>
          <w:u w:val="none"/>
          <w:lang w:eastAsia="zh-CN"/>
        </w:rPr>
        <w:t>，</w:t>
      </w:r>
      <w:r>
        <w:rPr>
          <w:rFonts w:hint="eastAsia" w:hAnsi="宋体" w:cs="宋体"/>
          <w:szCs w:val="21"/>
          <w:highlight w:val="none"/>
          <w:u w:val="none"/>
        </w:rPr>
        <w:t>机场</w:t>
      </w:r>
      <w:r>
        <w:rPr>
          <w:rFonts w:hint="eastAsia" w:hAnsi="宋体" w:cs="宋体"/>
          <w:szCs w:val="21"/>
          <w:highlight w:val="none"/>
          <w:u w:val="none"/>
          <w:lang w:eastAsia="zh-CN"/>
        </w:rPr>
        <w:t>近期和远期</w:t>
      </w:r>
      <w:r>
        <w:rPr>
          <w:rFonts w:hint="eastAsia" w:hAnsi="宋体" w:cs="宋体"/>
          <w:szCs w:val="21"/>
          <w:highlight w:val="none"/>
          <w:u w:val="none"/>
        </w:rPr>
        <w:t>规划范围的外排水方案</w:t>
      </w:r>
      <w:r>
        <w:rPr>
          <w:rFonts w:hint="eastAsia" w:hAnsi="宋体" w:eastAsia="宋体" w:cs="宋体"/>
          <w:color w:val="auto"/>
          <w:sz w:val="21"/>
          <w:szCs w:val="21"/>
          <w:highlight w:val="none"/>
          <w:u w:val="none"/>
        </w:rPr>
        <w:t>等</w:t>
      </w:r>
      <w:r>
        <w:rPr>
          <w:rFonts w:hint="eastAsia" w:hAnsi="宋体" w:cs="宋体"/>
          <w:color w:val="auto"/>
          <w:sz w:val="21"/>
          <w:szCs w:val="21"/>
          <w:highlight w:val="none"/>
          <w:u w:val="none"/>
          <w:lang w:eastAsia="zh-CN"/>
        </w:rPr>
        <w:t>。</w:t>
      </w:r>
    </w:p>
    <w:p>
      <w:pPr>
        <w:adjustRightInd w:val="0"/>
        <w:snapToGrid w:val="0"/>
        <w:spacing w:line="400" w:lineRule="exact"/>
        <w:ind w:firstLine="420" w:firstLineChars="200"/>
        <w:jc w:val="left"/>
        <w:rPr>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）按照采购人要求及法律法规规定，结合重庆新机场预可研、可研、总规报告编制</w:t>
      </w:r>
      <w:r>
        <w:rPr>
          <w:rFonts w:hint="eastAsia" w:ascii="宋体" w:hAnsi="宋体" w:cs="宋体"/>
          <w:szCs w:val="21"/>
          <w:highlight w:val="none"/>
          <w:lang w:eastAsia="zh-CN"/>
        </w:rPr>
        <w:t>、</w:t>
      </w:r>
      <w:r>
        <w:rPr>
          <w:rFonts w:hint="eastAsia" w:ascii="宋体" w:hAnsi="宋体" w:cs="宋体"/>
          <w:szCs w:val="21"/>
          <w:highlight w:val="none"/>
        </w:rPr>
        <w:t>审批和</w:t>
      </w:r>
      <w:r>
        <w:rPr>
          <w:rFonts w:hint="eastAsia" w:ascii="宋体" w:hAnsi="宋体" w:cs="宋体"/>
          <w:szCs w:val="21"/>
          <w:highlight w:val="none"/>
          <w:lang w:eastAsia="zh-CN"/>
        </w:rPr>
        <w:t>综合交通枢纽工程</w:t>
      </w:r>
      <w:r>
        <w:rPr>
          <w:rFonts w:hint="eastAsia" w:ascii="宋体" w:hAnsi="宋体" w:cs="宋体"/>
          <w:szCs w:val="21"/>
          <w:highlight w:val="none"/>
        </w:rPr>
        <w:t>立项（代可研）报告编制需求，完成</w:t>
      </w:r>
      <w:r>
        <w:rPr>
          <w:rFonts w:hint="eastAsia" w:ascii="宋体" w:hAnsi="宋体" w:cs="宋体"/>
          <w:szCs w:val="21"/>
          <w:highlight w:val="none"/>
          <w:lang w:eastAsia="zh-CN"/>
        </w:rPr>
        <w:t>防洪专项研究</w:t>
      </w:r>
      <w:r>
        <w:rPr>
          <w:rFonts w:hint="eastAsia" w:ascii="宋体" w:hAnsi="宋体" w:cs="宋体"/>
          <w:szCs w:val="21"/>
          <w:highlight w:val="none"/>
        </w:rPr>
        <w:t>报告，经采购</w:t>
      </w:r>
      <w:r>
        <w:rPr>
          <w:rFonts w:hint="eastAsia" w:ascii="宋体" w:hAnsi="宋体" w:cs="宋体"/>
          <w:szCs w:val="21"/>
          <w:highlight w:val="none"/>
          <w:u w:val="none"/>
        </w:rPr>
        <w:t>人审核后，</w:t>
      </w:r>
      <w:r>
        <w:rPr>
          <w:rFonts w:hint="eastAsia" w:ascii="宋体" w:hAnsi="宋体" w:cs="宋体"/>
          <w:szCs w:val="21"/>
          <w:highlight w:val="none"/>
          <w:u w:val="none"/>
          <w:lang w:eastAsia="zh-CN"/>
        </w:rPr>
        <w:t>经</w:t>
      </w:r>
      <w:r>
        <w:rPr>
          <w:rFonts w:hint="eastAsia" w:hAnsi="宋体" w:eastAsia="宋体" w:cs="宋体"/>
          <w:color w:val="auto"/>
          <w:sz w:val="21"/>
          <w:szCs w:val="21"/>
          <w:highlight w:val="none"/>
          <w:u w:val="none"/>
          <w:lang w:eastAsia="zh-CN"/>
        </w:rPr>
        <w:t>行业</w:t>
      </w:r>
      <w:r>
        <w:rPr>
          <w:rFonts w:hint="eastAsia" w:hAnsi="宋体" w:cs="宋体"/>
          <w:color w:val="auto"/>
          <w:sz w:val="21"/>
          <w:szCs w:val="21"/>
          <w:highlight w:val="none"/>
          <w:u w:val="none"/>
          <w:lang w:eastAsia="zh-CN"/>
        </w:rPr>
        <w:t>内专家评审通过</w:t>
      </w:r>
      <w:r>
        <w:rPr>
          <w:rFonts w:hint="eastAsia" w:ascii="宋体" w:hAnsi="宋体" w:cs="宋体"/>
          <w:szCs w:val="21"/>
          <w:highlight w:val="none"/>
          <w:u w:val="none"/>
        </w:rPr>
        <w:t>，同时配合完成与本项目相关的后续支持服务</w:t>
      </w:r>
      <w:r>
        <w:rPr>
          <w:rFonts w:hint="eastAsia" w:ascii="宋体" w:hAnsi="宋体" w:cs="宋体"/>
          <w:szCs w:val="21"/>
          <w:highlight w:val="none"/>
          <w:u w:val="none"/>
          <w:lang w:eastAsia="zh-CN"/>
        </w:rPr>
        <w:t>，包括但不限于为重庆新机场</w:t>
      </w:r>
      <w:r>
        <w:rPr>
          <w:rFonts w:hint="eastAsia" w:hAnsi="宋体" w:cs="宋体"/>
          <w:szCs w:val="21"/>
          <w:highlight w:val="none"/>
          <w:u w:val="none"/>
        </w:rPr>
        <w:t>预可研、可研、总规报告审批</w:t>
      </w:r>
      <w:r>
        <w:rPr>
          <w:rFonts w:hint="eastAsia" w:hAnsi="宋体" w:cs="宋体"/>
          <w:szCs w:val="21"/>
          <w:highlight w:val="none"/>
          <w:u w:val="none"/>
          <w:lang w:eastAsia="zh-CN"/>
        </w:rPr>
        <w:t>和</w:t>
      </w:r>
      <w:r>
        <w:rPr>
          <w:rFonts w:hint="eastAsia" w:ascii="宋体" w:hAnsi="宋体" w:cs="宋体"/>
          <w:szCs w:val="21"/>
          <w:highlight w:val="none"/>
          <w:u w:val="none"/>
          <w:lang w:eastAsia="zh-CN"/>
        </w:rPr>
        <w:t>后续洪水影响评价评审通过提供技术支持，根据招标人的合理要求免费</w:t>
      </w:r>
      <w:r>
        <w:rPr>
          <w:rFonts w:hint="eastAsia" w:ascii="宋体" w:hAnsi="宋体" w:cs="宋体"/>
          <w:szCs w:val="21"/>
          <w:highlight w:val="none"/>
          <w:lang w:eastAsia="zh-CN"/>
        </w:rPr>
        <w:t>进行相关汇报及成果更新、提出建议等。</w:t>
      </w:r>
    </w:p>
    <w:p>
      <w:pPr>
        <w:adjustRightInd w:val="0"/>
        <w:snapToGrid w:val="0"/>
        <w:spacing w:line="40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rPr>
        <w:t>3. 成果文件</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val="en-US" w:eastAsia="zh-CN"/>
        </w:rPr>
        <w:t xml:space="preserve"> </w:t>
      </w:r>
      <w:r>
        <w:rPr>
          <w:rFonts w:hint="eastAsia" w:ascii="宋体" w:hAnsi="宋体" w:cs="宋体"/>
          <w:szCs w:val="21"/>
          <w:highlight w:val="none"/>
        </w:rPr>
        <w:t>成果质量</w:t>
      </w:r>
    </w:p>
    <w:p>
      <w:pPr>
        <w:adjustRightInd w:val="0"/>
        <w:snapToGrid w:val="0"/>
        <w:spacing w:line="400" w:lineRule="exact"/>
        <w:ind w:firstLine="420" w:firstLineChars="200"/>
        <w:jc w:val="left"/>
        <w:rPr>
          <w:rFonts w:hint="eastAsia"/>
          <w:highlight w:val="none"/>
        </w:rPr>
      </w:pPr>
      <w:r>
        <w:rPr>
          <w:rFonts w:hint="eastAsia" w:ascii="宋体" w:hAnsi="宋体" w:cs="宋体"/>
          <w:szCs w:val="21"/>
          <w:highlight w:val="none"/>
        </w:rPr>
        <w:t>本项目成果应全面、概括地反映重庆新机场</w:t>
      </w:r>
      <w:r>
        <w:rPr>
          <w:rFonts w:hint="eastAsia" w:ascii="宋体" w:hAnsi="宋体" w:cs="宋体"/>
          <w:szCs w:val="21"/>
          <w:highlight w:val="none"/>
          <w:lang w:eastAsia="zh-CN"/>
        </w:rPr>
        <w:t>防洪专项研究</w:t>
      </w:r>
      <w:r>
        <w:rPr>
          <w:rFonts w:hint="eastAsia" w:ascii="宋体" w:hAnsi="宋体" w:cs="宋体"/>
          <w:szCs w:val="21"/>
          <w:highlight w:val="none"/>
        </w:rPr>
        <w:t>的全部工作，文字应简洁、准确，并尽量采用图表和照片，以使提出的资料清楚，论点明确，利于阅读和审查。原始数据、全部计算过程等不必在报告书中列出，必要时可编入附录。所参考的主要文献应按其发表的时间次序由近至远列出目录。</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 xml:space="preserve"> </w:t>
      </w:r>
      <w:r>
        <w:rPr>
          <w:rFonts w:hint="eastAsia" w:ascii="宋体" w:hAnsi="宋体" w:cs="宋体"/>
          <w:szCs w:val="21"/>
          <w:highlight w:val="none"/>
        </w:rPr>
        <w:t>成果包括但不限于如下约定：</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（1）结合重庆新机场预可研、可研、总规报告编制和</w:t>
      </w:r>
      <w:r>
        <w:rPr>
          <w:rFonts w:hint="eastAsia" w:ascii="宋体" w:hAnsi="宋体" w:cs="宋体"/>
          <w:szCs w:val="21"/>
          <w:highlight w:val="none"/>
          <w:lang w:eastAsia="zh-CN"/>
        </w:rPr>
        <w:t>综合交通枢纽工程</w:t>
      </w:r>
      <w:r>
        <w:rPr>
          <w:rFonts w:hint="eastAsia" w:ascii="宋体" w:hAnsi="宋体" w:cs="宋体"/>
          <w:szCs w:val="21"/>
          <w:highlight w:val="none"/>
        </w:rPr>
        <w:t>立项（代可研）报告编制需求，出具满足国家、行业、地方相关要求的重庆新机场</w:t>
      </w:r>
      <w:r>
        <w:rPr>
          <w:rFonts w:hint="eastAsia" w:ascii="宋体" w:hAnsi="宋体" w:cs="宋体"/>
          <w:szCs w:val="21"/>
          <w:highlight w:val="none"/>
          <w:lang w:eastAsia="zh-CN"/>
        </w:rPr>
        <w:t>防洪专项研究</w:t>
      </w:r>
      <w:r>
        <w:rPr>
          <w:rFonts w:hint="eastAsia" w:ascii="宋体" w:hAnsi="宋体" w:cs="宋体"/>
          <w:szCs w:val="21"/>
          <w:highlight w:val="none"/>
        </w:rPr>
        <w:t>报告，按照</w:t>
      </w:r>
      <w:r>
        <w:rPr>
          <w:rFonts w:hint="eastAsia" w:ascii="宋体" w:hAnsi="宋体" w:cs="宋体"/>
          <w:szCs w:val="21"/>
          <w:highlight w:val="none"/>
          <w:lang w:eastAsia="zh-CN"/>
        </w:rPr>
        <w:t>业主审核和行业内专家</w:t>
      </w:r>
      <w:r>
        <w:rPr>
          <w:rFonts w:hint="eastAsia" w:ascii="宋体" w:hAnsi="宋体" w:cs="宋体"/>
          <w:szCs w:val="21"/>
          <w:highlight w:val="none"/>
        </w:rPr>
        <w:t>技术评审</w:t>
      </w:r>
      <w:r>
        <w:rPr>
          <w:rFonts w:hint="eastAsia" w:ascii="宋体" w:hAnsi="宋体" w:cs="宋体"/>
          <w:szCs w:val="21"/>
          <w:highlight w:val="none"/>
          <w:lang w:eastAsia="zh-CN"/>
        </w:rPr>
        <w:t>过程中</w:t>
      </w:r>
      <w:r>
        <w:rPr>
          <w:rFonts w:hint="eastAsia" w:ascii="宋体" w:hAnsi="宋体" w:cs="宋体"/>
          <w:szCs w:val="21"/>
          <w:highlight w:val="none"/>
        </w:rPr>
        <w:t>提出的意见，对其修改、完善，直至</w:t>
      </w:r>
      <w:r>
        <w:rPr>
          <w:rFonts w:hint="eastAsia" w:ascii="宋体" w:hAnsi="宋体" w:cs="宋体"/>
          <w:szCs w:val="21"/>
          <w:highlight w:val="none"/>
          <w:lang w:eastAsia="zh-CN"/>
        </w:rPr>
        <w:t>经业主审核和行业内专家评审通过</w:t>
      </w:r>
      <w:r>
        <w:rPr>
          <w:rFonts w:hint="eastAsia" w:ascii="宋体" w:hAnsi="宋体" w:cs="宋体"/>
          <w:szCs w:val="21"/>
          <w:highlight w:val="none"/>
        </w:rPr>
        <w:t>。</w:t>
      </w:r>
    </w:p>
    <w:p>
      <w:pPr>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（2）按照业主上报、存档等要求提供纸质版及电子版文件。</w:t>
      </w:r>
    </w:p>
    <w:p>
      <w:pPr>
        <w:adjustRightInd w:val="0"/>
        <w:snapToGrid w:val="0"/>
        <w:spacing w:line="40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rPr>
        <w:t>4. 参考资料</w:t>
      </w:r>
    </w:p>
    <w:p>
      <w:pPr>
        <w:autoSpaceDE w:val="0"/>
        <w:autoSpaceDN w:val="0"/>
        <w:adjustRightInd w:val="0"/>
        <w:snapToGrid w:val="0"/>
        <w:spacing w:line="400" w:lineRule="exact"/>
        <w:ind w:firstLine="420" w:firstLineChars="200"/>
        <w:jc w:val="left"/>
        <w:rPr>
          <w:rFonts w:hint="eastAsia" w:ascii="宋体" w:hAnsi="宋体" w:cs="宋体"/>
          <w:spacing w:val="2"/>
          <w:w w:val="99"/>
          <w:kern w:val="0"/>
          <w:position w:val="-1"/>
          <w:szCs w:val="21"/>
          <w:highlight w:val="none"/>
        </w:rPr>
      </w:pPr>
      <w:r>
        <w:rPr>
          <w:rFonts w:hint="eastAsia" w:ascii="宋体" w:hAnsi="宋体" w:cs="宋体"/>
          <w:szCs w:val="21"/>
          <w:highlight w:val="none"/>
          <w:lang w:eastAsia="zh-CN"/>
        </w:rPr>
        <w:t>参考</w:t>
      </w:r>
      <w:r>
        <w:rPr>
          <w:rFonts w:hint="eastAsia" w:ascii="宋体" w:hAnsi="宋体" w:cs="宋体"/>
          <w:szCs w:val="21"/>
          <w:highlight w:val="none"/>
        </w:rPr>
        <w:t>资料随本招标文件一并发布，由投标人自行下载。</w:t>
      </w:r>
    </w:p>
    <w:p>
      <w:pPr>
        <w:pStyle w:val="16"/>
        <w:outlineLvl w:val="9"/>
        <w:rPr>
          <w:rFonts w:hint="eastAsia"/>
          <w:highlight w:val="none"/>
        </w:rPr>
      </w:pPr>
      <w:r>
        <w:rPr>
          <w:rFonts w:hint="eastAsia" w:ascii="宋体" w:hAnsi="宋体" w:cs="宋体"/>
          <w:b w:val="0"/>
          <w:spacing w:val="2"/>
          <w:w w:val="99"/>
          <w:kern w:val="0"/>
          <w:sz w:val="44"/>
          <w:szCs w:val="44"/>
          <w:highlight w:val="none"/>
        </w:rPr>
        <w:br w:type="page"/>
      </w:r>
    </w:p>
    <w:p>
      <w:pPr>
        <w:pStyle w:val="16"/>
        <w:rPr>
          <w:rFonts w:hint="eastAsia"/>
          <w:highlight w:val="none"/>
        </w:rPr>
      </w:pPr>
      <w:bookmarkStart w:id="155" w:name="_Toc8534"/>
      <w:bookmarkStart w:id="156" w:name="_Toc10363"/>
      <w:bookmarkStart w:id="157" w:name="_Toc4657"/>
      <w:r>
        <w:rPr>
          <w:rFonts w:hint="eastAsia"/>
          <w:highlight w:val="none"/>
        </w:rPr>
        <w:t>第六章  投标文件格式</w:t>
      </w:r>
      <w:bookmarkEnd w:id="155"/>
      <w:bookmarkEnd w:id="156"/>
      <w:bookmarkEnd w:id="157"/>
    </w:p>
    <w:p>
      <w:pPr>
        <w:jc w:val="center"/>
        <w:rPr>
          <w:rFonts w:hint="eastAsia" w:ascii="宋体" w:hAnsi="宋体" w:cs="宋体"/>
          <w:b/>
          <w:bCs/>
          <w:kern w:val="0"/>
          <w:sz w:val="20"/>
          <w:szCs w:val="20"/>
          <w:highlight w:val="none"/>
        </w:rPr>
      </w:pPr>
      <w:r>
        <w:rPr>
          <w:rFonts w:hint="eastAsia" w:ascii="宋体" w:hAnsi="宋体" w:cs="宋体"/>
          <w:kern w:val="0"/>
          <w:sz w:val="20"/>
          <w:szCs w:val="20"/>
          <w:highlight w:val="none"/>
        </w:rPr>
        <w:br w:type="page"/>
      </w:r>
    </w:p>
    <w:p>
      <w:pPr>
        <w:jc w:val="left"/>
        <w:rPr>
          <w:b/>
          <w:bCs/>
          <w:sz w:val="28"/>
          <w:szCs w:val="28"/>
          <w:highlight w:val="none"/>
          <w:u w:val="single"/>
        </w:rPr>
      </w:pPr>
    </w:p>
    <w:p>
      <w:pPr>
        <w:jc w:val="left"/>
        <w:rPr>
          <w:b/>
          <w:bCs/>
          <w:sz w:val="36"/>
          <w:szCs w:val="36"/>
          <w:highlight w:val="none"/>
        </w:rPr>
      </w:pPr>
      <w:r>
        <w:rPr>
          <w:b/>
          <w:bCs/>
          <w:sz w:val="28"/>
          <w:szCs w:val="28"/>
          <w:highlight w:val="none"/>
          <w:u w:val="single"/>
        </w:rPr>
        <w:tab/>
      </w:r>
      <w:r>
        <w:rPr>
          <w:b/>
          <w:bCs/>
          <w:sz w:val="28"/>
          <w:szCs w:val="28"/>
          <w:highlight w:val="none"/>
          <w:u w:val="single"/>
        </w:rPr>
        <w:t xml:space="preserve">                                        </w:t>
      </w:r>
      <w:r>
        <w:rPr>
          <w:rFonts w:hint="eastAsia" w:cs="MingLiU"/>
          <w:b/>
          <w:bCs/>
          <w:w w:val="99"/>
          <w:sz w:val="28"/>
          <w:szCs w:val="28"/>
          <w:highlight w:val="none"/>
        </w:rPr>
        <w:t>（项目名称</w:t>
      </w:r>
      <w:r>
        <w:rPr>
          <w:rFonts w:hint="eastAsia" w:cs="MingLiU"/>
          <w:b/>
          <w:bCs/>
          <w:spacing w:val="1"/>
          <w:w w:val="99"/>
          <w:sz w:val="28"/>
          <w:szCs w:val="28"/>
          <w:highlight w:val="none"/>
        </w:rPr>
        <w:t>）</w:t>
      </w:r>
    </w:p>
    <w:p>
      <w:pPr>
        <w:rPr>
          <w:b/>
          <w:bCs/>
          <w:highlight w:val="none"/>
        </w:rPr>
      </w:pPr>
    </w:p>
    <w:p>
      <w:pPr>
        <w:rPr>
          <w:b/>
          <w:bCs/>
          <w:highlight w:val="none"/>
        </w:rPr>
      </w:pPr>
    </w:p>
    <w:p>
      <w:pPr>
        <w:jc w:val="center"/>
        <w:rPr>
          <w:b/>
          <w:bCs/>
          <w:sz w:val="52"/>
          <w:szCs w:val="52"/>
          <w:highlight w:val="none"/>
        </w:rPr>
      </w:pPr>
    </w:p>
    <w:p>
      <w:pPr>
        <w:rPr>
          <w:b/>
          <w:bCs/>
          <w:highlight w:val="none"/>
        </w:rPr>
      </w:pPr>
    </w:p>
    <w:p>
      <w:pPr>
        <w:jc w:val="center"/>
        <w:rPr>
          <w:b/>
          <w:bCs/>
          <w:sz w:val="32"/>
          <w:szCs w:val="32"/>
          <w:highlight w:val="none"/>
        </w:rPr>
      </w:pPr>
    </w:p>
    <w:p>
      <w:pPr>
        <w:jc w:val="center"/>
        <w:rPr>
          <w:rFonts w:hint="eastAsia"/>
          <w:b/>
          <w:bCs/>
          <w:sz w:val="84"/>
          <w:szCs w:val="84"/>
          <w:highlight w:val="none"/>
        </w:rPr>
      </w:pPr>
    </w:p>
    <w:p>
      <w:pPr>
        <w:jc w:val="center"/>
        <w:rPr>
          <w:rFonts w:hint="eastAsia"/>
          <w:b/>
          <w:bCs/>
          <w:sz w:val="84"/>
          <w:szCs w:val="84"/>
          <w:highlight w:val="none"/>
        </w:rPr>
      </w:pPr>
    </w:p>
    <w:p>
      <w:pPr>
        <w:jc w:val="center"/>
        <w:rPr>
          <w:b/>
          <w:bCs/>
          <w:sz w:val="84"/>
          <w:szCs w:val="84"/>
          <w:highlight w:val="none"/>
        </w:rPr>
      </w:pPr>
      <w:r>
        <w:rPr>
          <w:rFonts w:hint="eastAsia"/>
          <w:b/>
          <w:bCs/>
          <w:sz w:val="84"/>
          <w:szCs w:val="84"/>
          <w:highlight w:val="none"/>
        </w:rPr>
        <w:t>投标文件</w:t>
      </w:r>
    </w:p>
    <w:p>
      <w:pPr>
        <w:jc w:val="center"/>
        <w:rPr>
          <w:b/>
          <w:bCs/>
          <w:sz w:val="48"/>
          <w:szCs w:val="48"/>
          <w:highlight w:val="none"/>
        </w:rPr>
      </w:pPr>
    </w:p>
    <w:p>
      <w:pPr>
        <w:jc w:val="center"/>
        <w:rPr>
          <w:b/>
          <w:bCs/>
          <w:sz w:val="48"/>
          <w:szCs w:val="48"/>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ind w:firstLine="1205" w:firstLineChars="400"/>
        <w:rPr>
          <w:b/>
          <w:bCs/>
          <w:sz w:val="30"/>
          <w:szCs w:val="30"/>
          <w:highlight w:val="none"/>
        </w:rPr>
      </w:pPr>
    </w:p>
    <w:p>
      <w:pPr>
        <w:ind w:firstLine="1205" w:firstLineChars="400"/>
        <w:rPr>
          <w:b/>
          <w:bCs/>
          <w:sz w:val="30"/>
          <w:szCs w:val="30"/>
          <w:highlight w:val="none"/>
        </w:rPr>
      </w:pPr>
    </w:p>
    <w:p>
      <w:pPr>
        <w:ind w:firstLine="1205" w:firstLineChars="400"/>
        <w:rPr>
          <w:rFonts w:hint="eastAsia"/>
          <w:b/>
          <w:bCs/>
          <w:sz w:val="30"/>
          <w:szCs w:val="30"/>
          <w:highlight w:val="none"/>
        </w:rPr>
      </w:pPr>
    </w:p>
    <w:p>
      <w:pPr>
        <w:ind w:firstLine="1205" w:firstLineChars="400"/>
        <w:rPr>
          <w:rFonts w:hint="eastAsia"/>
          <w:b/>
          <w:bCs/>
          <w:sz w:val="30"/>
          <w:szCs w:val="30"/>
          <w:highlight w:val="none"/>
        </w:rPr>
      </w:pPr>
    </w:p>
    <w:p>
      <w:pPr>
        <w:ind w:firstLine="1205" w:firstLineChars="400"/>
        <w:rPr>
          <w:rFonts w:hint="eastAsia"/>
          <w:b/>
          <w:bCs/>
          <w:sz w:val="30"/>
          <w:szCs w:val="30"/>
          <w:highlight w:val="none"/>
        </w:rPr>
      </w:pPr>
    </w:p>
    <w:p>
      <w:pPr>
        <w:ind w:firstLine="1205" w:firstLineChars="400"/>
        <w:rPr>
          <w:rFonts w:hint="eastAsia"/>
          <w:b/>
          <w:bCs/>
          <w:sz w:val="30"/>
          <w:szCs w:val="30"/>
          <w:highlight w:val="none"/>
        </w:rPr>
      </w:pPr>
    </w:p>
    <w:p>
      <w:pPr>
        <w:ind w:firstLine="1205" w:firstLineChars="400"/>
        <w:rPr>
          <w:rFonts w:hint="eastAsia"/>
          <w:b/>
          <w:bCs/>
          <w:sz w:val="30"/>
          <w:szCs w:val="30"/>
          <w:highlight w:val="none"/>
        </w:rPr>
      </w:pPr>
    </w:p>
    <w:p>
      <w:pPr>
        <w:spacing w:line="360" w:lineRule="auto"/>
        <w:ind w:firstLine="1205" w:firstLineChars="400"/>
        <w:rPr>
          <w:b/>
          <w:bCs/>
          <w:sz w:val="30"/>
          <w:szCs w:val="30"/>
          <w:highlight w:val="none"/>
        </w:rPr>
      </w:pPr>
      <w:r>
        <w:rPr>
          <w:rFonts w:hint="eastAsia"/>
          <w:b/>
          <w:bCs/>
          <w:sz w:val="30"/>
          <w:szCs w:val="30"/>
          <w:highlight w:val="none"/>
        </w:rPr>
        <w:t>投标人：</w:t>
      </w:r>
      <w:r>
        <w:rPr>
          <w:b/>
          <w:bCs/>
          <w:sz w:val="30"/>
          <w:szCs w:val="30"/>
          <w:highlight w:val="none"/>
          <w:u w:val="single"/>
        </w:rPr>
        <w:t xml:space="preserve">                         </w:t>
      </w:r>
      <w:r>
        <w:rPr>
          <w:rFonts w:hint="eastAsia"/>
          <w:b/>
          <w:bCs/>
          <w:sz w:val="30"/>
          <w:szCs w:val="30"/>
          <w:highlight w:val="none"/>
        </w:rPr>
        <w:t>（盖单位公章）</w:t>
      </w:r>
    </w:p>
    <w:p>
      <w:pPr>
        <w:spacing w:line="360" w:lineRule="auto"/>
        <w:ind w:firstLine="1205" w:firstLineChars="400"/>
        <w:rPr>
          <w:b/>
          <w:bCs/>
          <w:sz w:val="30"/>
          <w:szCs w:val="30"/>
          <w:highlight w:val="none"/>
        </w:rPr>
      </w:pPr>
      <w:r>
        <w:rPr>
          <w:rFonts w:hint="eastAsia"/>
          <w:b/>
          <w:bCs/>
          <w:sz w:val="30"/>
          <w:szCs w:val="30"/>
          <w:highlight w:val="none"/>
        </w:rPr>
        <w:t>法定代表人或其委托代理人：</w:t>
      </w:r>
      <w:r>
        <w:rPr>
          <w:b/>
          <w:bCs/>
          <w:sz w:val="30"/>
          <w:szCs w:val="30"/>
          <w:highlight w:val="none"/>
          <w:u w:val="single"/>
        </w:rPr>
        <w:t xml:space="preserve">       </w:t>
      </w:r>
      <w:r>
        <w:rPr>
          <w:rFonts w:hint="eastAsia"/>
          <w:b/>
          <w:bCs/>
          <w:sz w:val="30"/>
          <w:szCs w:val="30"/>
          <w:highlight w:val="none"/>
        </w:rPr>
        <w:t>（签名或盖章）</w:t>
      </w:r>
    </w:p>
    <w:p>
      <w:pPr>
        <w:spacing w:line="360" w:lineRule="auto"/>
        <w:jc w:val="center"/>
        <w:rPr>
          <w:rFonts w:hint="eastAsia"/>
          <w:b/>
          <w:bCs/>
          <w:sz w:val="28"/>
          <w:szCs w:val="28"/>
          <w:highlight w:val="none"/>
        </w:rPr>
      </w:pPr>
      <w:r>
        <w:rPr>
          <w:b/>
          <w:bCs/>
          <w:sz w:val="30"/>
          <w:szCs w:val="30"/>
          <w:highlight w:val="none"/>
          <w:u w:val="single"/>
        </w:rPr>
        <w:t xml:space="preserve">     </w:t>
      </w:r>
      <w:r>
        <w:rPr>
          <w:rFonts w:hint="eastAsia"/>
          <w:b/>
          <w:bCs/>
          <w:sz w:val="30"/>
          <w:szCs w:val="30"/>
          <w:highlight w:val="none"/>
        </w:rPr>
        <w:t>年</w:t>
      </w:r>
      <w:r>
        <w:rPr>
          <w:b/>
          <w:bCs/>
          <w:sz w:val="30"/>
          <w:szCs w:val="30"/>
          <w:highlight w:val="none"/>
          <w:u w:val="single"/>
        </w:rPr>
        <w:t xml:space="preserve">  </w:t>
      </w:r>
      <w:r>
        <w:rPr>
          <w:rFonts w:hint="eastAsia"/>
          <w:b/>
          <w:bCs/>
          <w:sz w:val="30"/>
          <w:szCs w:val="30"/>
          <w:highlight w:val="none"/>
        </w:rPr>
        <w:t>月</w:t>
      </w:r>
      <w:r>
        <w:rPr>
          <w:b/>
          <w:bCs/>
          <w:sz w:val="30"/>
          <w:szCs w:val="30"/>
          <w:highlight w:val="none"/>
          <w:u w:val="single"/>
        </w:rPr>
        <w:t xml:space="preserve">  </w:t>
      </w:r>
      <w:r>
        <w:rPr>
          <w:rFonts w:hint="eastAsia"/>
          <w:b/>
          <w:bCs/>
          <w:sz w:val="30"/>
          <w:szCs w:val="30"/>
          <w:highlight w:val="none"/>
        </w:rPr>
        <w:t>日</w:t>
      </w:r>
    </w:p>
    <w:p>
      <w:pPr>
        <w:jc w:val="center"/>
        <w:rPr>
          <w:rFonts w:hint="eastAsia"/>
          <w:b/>
          <w:sz w:val="28"/>
          <w:szCs w:val="28"/>
          <w:highlight w:val="none"/>
        </w:rPr>
      </w:pPr>
    </w:p>
    <w:p>
      <w:pPr>
        <w:jc w:val="center"/>
        <w:rPr>
          <w:rFonts w:hint="eastAsia"/>
          <w:b/>
          <w:sz w:val="28"/>
          <w:szCs w:val="28"/>
          <w:highlight w:val="none"/>
        </w:rPr>
      </w:pPr>
    </w:p>
    <w:p>
      <w:pPr>
        <w:jc w:val="center"/>
        <w:rPr>
          <w:rFonts w:hint="eastAsia"/>
          <w:b/>
          <w:sz w:val="28"/>
          <w:szCs w:val="28"/>
          <w:highlight w:val="none"/>
        </w:rPr>
      </w:pPr>
    </w:p>
    <w:p>
      <w:pPr>
        <w:jc w:val="center"/>
        <w:rPr>
          <w:rFonts w:hint="eastAsia"/>
          <w:b/>
          <w:sz w:val="28"/>
          <w:szCs w:val="28"/>
          <w:highlight w:val="none"/>
        </w:rPr>
      </w:pPr>
      <w:r>
        <w:rPr>
          <w:rFonts w:hint="eastAsia"/>
          <w:b/>
          <w:sz w:val="28"/>
          <w:szCs w:val="28"/>
          <w:highlight w:val="none"/>
        </w:rPr>
        <w:t>目  录</w:t>
      </w:r>
    </w:p>
    <w:p>
      <w:pPr>
        <w:jc w:val="center"/>
        <w:rPr>
          <w:rFonts w:hint="eastAsia"/>
          <w:b/>
          <w:sz w:val="28"/>
          <w:szCs w:val="28"/>
          <w:highlight w:val="none"/>
        </w:rPr>
      </w:pPr>
    </w:p>
    <w:p>
      <w:pPr>
        <w:snapToGrid w:val="0"/>
        <w:spacing w:line="360" w:lineRule="auto"/>
        <w:ind w:firstLine="480" w:firstLineChars="200"/>
        <w:textAlignment w:val="top"/>
        <w:rPr>
          <w:snapToGrid w:val="0"/>
          <w:sz w:val="24"/>
          <w:szCs w:val="24"/>
          <w:highlight w:val="none"/>
        </w:rPr>
      </w:pPr>
      <w:r>
        <w:rPr>
          <w:rFonts w:hint="eastAsia"/>
          <w:snapToGrid w:val="0"/>
          <w:sz w:val="24"/>
          <w:szCs w:val="24"/>
          <w:highlight w:val="none"/>
        </w:rPr>
        <w:t>投标人自拟</w:t>
      </w:r>
    </w:p>
    <w:p>
      <w:pPr>
        <w:pStyle w:val="17"/>
        <w:spacing w:line="360" w:lineRule="auto"/>
        <w:rPr>
          <w:rFonts w:hAnsi="宋体"/>
          <w:bCs/>
          <w:color w:val="auto"/>
          <w:highlight w:val="none"/>
        </w:rPr>
      </w:pPr>
    </w:p>
    <w:p>
      <w:pPr>
        <w:pStyle w:val="17"/>
        <w:spacing w:line="360" w:lineRule="auto"/>
        <w:rPr>
          <w:rFonts w:hAnsi="宋体"/>
          <w:bCs/>
          <w:color w:val="auto"/>
          <w:highlight w:val="none"/>
        </w:rPr>
      </w:pPr>
    </w:p>
    <w:p>
      <w:pPr>
        <w:widowControl/>
        <w:jc w:val="left"/>
        <w:rPr>
          <w:rFonts w:ascii="Calibri" w:cs="黑体"/>
          <w:b/>
          <w:bCs/>
          <w:sz w:val="28"/>
          <w:szCs w:val="28"/>
          <w:highlight w:val="none"/>
        </w:rPr>
      </w:pPr>
      <w:r>
        <w:rPr>
          <w:rFonts w:cs="黑体"/>
          <w:b/>
          <w:bCs/>
          <w:sz w:val="28"/>
          <w:szCs w:val="28"/>
          <w:highlight w:val="none"/>
        </w:rPr>
        <w:br w:type="page"/>
      </w:r>
    </w:p>
    <w:p>
      <w:pPr>
        <w:pStyle w:val="26"/>
        <w:spacing w:after="0"/>
        <w:jc w:val="center"/>
        <w:outlineLvl w:val="1"/>
        <w:rPr>
          <w:rFonts w:hint="eastAsia" w:hAnsi="宋体" w:cs="黑体"/>
          <w:b/>
          <w:bCs/>
          <w:sz w:val="28"/>
          <w:szCs w:val="28"/>
          <w:highlight w:val="none"/>
        </w:rPr>
      </w:pPr>
      <w:bookmarkStart w:id="158" w:name="_Toc20598"/>
      <w:bookmarkStart w:id="159" w:name="_Toc23616"/>
      <w:bookmarkStart w:id="160" w:name="_Toc27509"/>
      <w:bookmarkStart w:id="161" w:name="_Toc23398"/>
      <w:bookmarkStart w:id="162" w:name="_Toc20387"/>
      <w:bookmarkStart w:id="163" w:name="_Toc10576"/>
      <w:bookmarkStart w:id="164" w:name="_Toc511161953"/>
      <w:r>
        <w:rPr>
          <w:rFonts w:hint="eastAsia" w:hAnsi="宋体" w:cs="黑体"/>
          <w:b/>
          <w:bCs/>
          <w:sz w:val="28"/>
          <w:szCs w:val="28"/>
          <w:highlight w:val="none"/>
        </w:rPr>
        <w:t>一、投标函部分</w:t>
      </w:r>
      <w:bookmarkEnd w:id="158"/>
      <w:bookmarkEnd w:id="159"/>
      <w:bookmarkEnd w:id="160"/>
      <w:bookmarkEnd w:id="161"/>
      <w:bookmarkEnd w:id="162"/>
      <w:bookmarkEnd w:id="163"/>
      <w:bookmarkEnd w:id="164"/>
    </w:p>
    <w:p>
      <w:pPr>
        <w:pStyle w:val="26"/>
        <w:spacing w:after="0"/>
        <w:jc w:val="center"/>
        <w:rPr>
          <w:rFonts w:hint="eastAsia" w:hAnsi="宋体" w:cs="黑体"/>
          <w:b/>
          <w:bCs/>
          <w:sz w:val="28"/>
          <w:szCs w:val="28"/>
          <w:highlight w:val="none"/>
        </w:rPr>
      </w:pPr>
      <w:r>
        <w:rPr>
          <w:rFonts w:hint="eastAsia" w:hAnsi="宋体" w:cs="黑体"/>
          <w:b/>
          <w:bCs/>
          <w:sz w:val="28"/>
          <w:szCs w:val="28"/>
          <w:highlight w:val="none"/>
        </w:rPr>
        <w:br w:type="page"/>
      </w:r>
      <w:r>
        <w:rPr>
          <w:rFonts w:hint="eastAsia" w:ascii="宋体" w:hAnsi="宋体" w:cs="宋体"/>
          <w:spacing w:val="2"/>
          <w:position w:val="-4"/>
          <w:sz w:val="28"/>
          <w:szCs w:val="28"/>
          <w:highlight w:val="none"/>
        </w:rPr>
        <w:t>（一）</w:t>
      </w:r>
      <w:r>
        <w:rPr>
          <w:rFonts w:hint="eastAsia" w:hAnsi="宋体" w:cs="黑体"/>
          <w:b/>
          <w:bCs/>
          <w:sz w:val="28"/>
          <w:szCs w:val="28"/>
          <w:highlight w:val="none"/>
        </w:rPr>
        <w:t>投标函</w:t>
      </w:r>
    </w:p>
    <w:p>
      <w:pPr>
        <w:tabs>
          <w:tab w:val="left" w:pos="1980"/>
        </w:tabs>
        <w:autoSpaceDE w:val="0"/>
        <w:autoSpaceDN w:val="0"/>
        <w:adjustRightInd w:val="0"/>
        <w:snapToGrid w:val="0"/>
        <w:spacing w:line="360" w:lineRule="auto"/>
        <w:jc w:val="left"/>
        <w:rPr>
          <w:rFonts w:hint="eastAsia" w:ascii="宋体" w:hAnsi="宋体" w:cs="宋体"/>
          <w:snapToGrid w:val="0"/>
          <w:kern w:val="0"/>
          <w:szCs w:val="21"/>
          <w:highlight w:val="none"/>
        </w:rPr>
      </w:pPr>
      <w:r>
        <w:rPr>
          <w:rFonts w:hint="eastAsia" w:ascii="宋体" w:hAnsi="宋体" w:cs="宋体"/>
          <w:snapToGrid w:val="0"/>
          <w:kern w:val="0"/>
          <w:position w:val="-4"/>
          <w:szCs w:val="21"/>
          <w:highlight w:val="none"/>
          <w:u w:val="single"/>
        </w:rPr>
        <w:t xml:space="preserve"> </w:t>
      </w:r>
      <w:r>
        <w:rPr>
          <w:rFonts w:hint="eastAsia" w:ascii="宋体" w:hAnsi="宋体" w:cs="宋体"/>
          <w:snapToGrid w:val="0"/>
          <w:kern w:val="0"/>
          <w:position w:val="-4"/>
          <w:szCs w:val="21"/>
          <w:highlight w:val="none"/>
          <w:u w:val="single"/>
        </w:rPr>
        <w:tab/>
      </w:r>
      <w:r>
        <w:rPr>
          <w:rFonts w:hint="eastAsia" w:ascii="宋体" w:hAnsi="宋体" w:cs="宋体"/>
          <w:snapToGrid w:val="0"/>
          <w:kern w:val="0"/>
          <w:position w:val="-4"/>
          <w:szCs w:val="21"/>
          <w:highlight w:val="none"/>
        </w:rPr>
        <w:t>（招标人名称）：</w:t>
      </w:r>
    </w:p>
    <w:p>
      <w:pPr>
        <w:tabs>
          <w:tab w:val="left" w:pos="1460"/>
          <w:tab w:val="left" w:pos="3880"/>
        </w:tabs>
        <w:autoSpaceDE w:val="0"/>
        <w:autoSpaceDN w:val="0"/>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1.我方已仔细研究了</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rPr>
        <w:tab/>
      </w:r>
      <w:r>
        <w:rPr>
          <w:rFonts w:hint="eastAsia" w:ascii="宋体" w:hAnsi="宋体" w:cs="宋体"/>
          <w:kern w:val="0"/>
          <w:szCs w:val="21"/>
          <w:highlight w:val="none"/>
          <w:u w:val="single"/>
        </w:rPr>
        <w:t>（项目名称）</w:t>
      </w:r>
      <w:r>
        <w:rPr>
          <w:rFonts w:hint="eastAsia" w:ascii="宋体" w:hAnsi="宋体" w:cs="宋体"/>
          <w:kern w:val="0"/>
          <w:szCs w:val="21"/>
          <w:highlight w:val="none"/>
        </w:rPr>
        <w:t>招标文件的全部内容，愿意以人民币（大写）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rPr>
        <w:tab/>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rPr>
        <w:tab/>
      </w:r>
      <w:r>
        <w:rPr>
          <w:rFonts w:hint="eastAsia" w:ascii="宋体" w:hAnsi="宋体" w:cs="宋体"/>
          <w:kern w:val="0"/>
          <w:szCs w:val="21"/>
          <w:highlight w:val="none"/>
        </w:rPr>
        <w:t>）的不含增值税投标总报价</w:t>
      </w:r>
      <w:r>
        <w:rPr>
          <w:rFonts w:hint="eastAsia" w:ascii="宋体" w:hAnsi="宋体" w:cs="宋体"/>
          <w:color w:val="000000"/>
          <w:szCs w:val="21"/>
          <w:highlight w:val="none"/>
        </w:rPr>
        <w:t>，增值税税率为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r>
        <w:rPr>
          <w:rFonts w:hint="eastAsia" w:ascii="宋体" w:hAnsi="宋体" w:cs="宋体"/>
          <w:kern w:val="0"/>
          <w:szCs w:val="21"/>
          <w:highlight w:val="none"/>
        </w:rPr>
        <w:t>，服务周期：</w:t>
      </w:r>
      <w:r>
        <w:rPr>
          <w:rFonts w:hint="eastAsia" w:ascii="宋体" w:hAnsi="宋体" w:cs="宋体"/>
          <w:szCs w:val="21"/>
          <w:highlight w:val="none"/>
          <w:u w:val="single"/>
        </w:rPr>
        <w:t>满足招标文件要求</w:t>
      </w:r>
      <w:r>
        <w:rPr>
          <w:rFonts w:hint="eastAsia" w:ascii="宋体" w:hAnsi="宋体" w:cs="宋体"/>
          <w:kern w:val="0"/>
          <w:szCs w:val="21"/>
          <w:highlight w:val="none"/>
        </w:rPr>
        <w:t>，按合同约定完成服务工作。质量标准：</w:t>
      </w:r>
      <w:r>
        <w:rPr>
          <w:rFonts w:hint="eastAsia" w:ascii="宋体" w:hAnsi="宋体" w:cs="宋体"/>
          <w:kern w:val="0"/>
          <w:szCs w:val="21"/>
          <w:highlight w:val="none"/>
          <w:u w:val="single"/>
        </w:rPr>
        <w:t>满足招标文件要求</w:t>
      </w:r>
      <w:r>
        <w:rPr>
          <w:rFonts w:hint="eastAsia" w:ascii="宋体" w:hAnsi="宋体" w:cs="宋体"/>
          <w:kern w:val="0"/>
          <w:szCs w:val="21"/>
          <w:highlight w:val="none"/>
        </w:rPr>
        <w:t>，拟派项目负责人为</w:t>
      </w:r>
      <w:r>
        <w:rPr>
          <w:rFonts w:hint="eastAsia" w:ascii="宋体" w:hAnsi="宋体" w:cs="宋体"/>
          <w:kern w:val="0"/>
          <w:szCs w:val="21"/>
          <w:highlight w:val="none"/>
          <w:u w:val="single"/>
        </w:rPr>
        <w:t>　     　</w:t>
      </w:r>
      <w:r>
        <w:rPr>
          <w:rFonts w:hint="eastAsia" w:ascii="宋体" w:hAnsi="宋体" w:cs="宋体"/>
          <w:kern w:val="0"/>
          <w:szCs w:val="21"/>
          <w:highlight w:val="none"/>
          <w:u w:val="none"/>
        </w:rPr>
        <w:t>，</w:t>
      </w:r>
      <w:r>
        <w:rPr>
          <w:rFonts w:hint="eastAsia" w:ascii="宋体" w:hAnsi="宋体" w:cs="宋体"/>
          <w:kern w:val="0"/>
          <w:szCs w:val="21"/>
          <w:highlight w:val="none"/>
          <w:u w:val="none"/>
          <w:lang w:eastAsia="zh-CN"/>
        </w:rPr>
        <w:t>技术</w:t>
      </w:r>
      <w:r>
        <w:rPr>
          <w:rFonts w:hint="eastAsia" w:ascii="宋体" w:hAnsi="宋体" w:cs="宋体"/>
          <w:kern w:val="0"/>
          <w:szCs w:val="21"/>
          <w:highlight w:val="none"/>
        </w:rPr>
        <w:t>负责人为</w:t>
      </w:r>
      <w:r>
        <w:rPr>
          <w:rFonts w:hint="eastAsia" w:ascii="宋体" w:hAnsi="宋体" w:cs="宋体"/>
          <w:kern w:val="0"/>
          <w:szCs w:val="21"/>
          <w:highlight w:val="none"/>
          <w:u w:val="single"/>
        </w:rPr>
        <w:t>　     　</w:t>
      </w:r>
      <w:r>
        <w:rPr>
          <w:rFonts w:hint="eastAsia" w:ascii="宋体" w:hAnsi="宋体" w:cs="宋体"/>
          <w:kern w:val="0"/>
          <w:szCs w:val="21"/>
          <w:highlight w:val="none"/>
        </w:rPr>
        <w:t>。</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w:t>
      </w:r>
      <w:r>
        <w:rPr>
          <w:rFonts w:hint="eastAsia" w:ascii="宋体" w:hAnsi="宋体" w:cs="宋体"/>
          <w:snapToGrid w:val="0"/>
          <w:kern w:val="0"/>
          <w:szCs w:val="21"/>
          <w:highlight w:val="none"/>
        </w:rPr>
        <w:t>我方承诺响应招标文件规定的投标有效期，在投标有效期内不修改、撤销投标文件。</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3.随同本投标函提交投标保证金一份，金额满足招标文件要求。</w:t>
      </w:r>
      <w:r>
        <w:rPr>
          <w:rFonts w:hint="eastAsia" w:ascii="宋体" w:hAnsi="宋体" w:cs="宋体"/>
          <w:snapToGrid w:val="0"/>
          <w:kern w:val="0"/>
          <w:szCs w:val="21"/>
          <w:highlight w:val="none"/>
        </w:rPr>
        <w:t>投标保证金有效期与投标有效期一致，在此期间，若我方违反招投标有关法律、法规及本招标文件的相关规定，投标保证金的受益人为招标人。</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4.如我方中标：</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(l）我方承诺在收到中标通知书后，在中标通知书规定的期限内与你方签订合同。</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(2）我方承诺按照招标文件规定向你方递交履约担保。</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(3）我方承诺在合同约定的期限内完成全部合同项目。</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5.我方在此声明，所递交的投标文件及有关资料内容完整、真实和准确。</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6.在合同协议书正式签署生效之前，本投标函连同你方的中标通知书将构成我们双方之间共同遵守的文件，对双方具有约束力。</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 xml:space="preserve">7.我方在此声明，所递交的投标文件及有关资料内容完整、真实和准确，且不存在第二章“投标人须知”第1.4.3项规定的任何一种情形。同时我方承诺接受招标文件及附件、澄清及修改通知中所有的内容。 </w:t>
      </w:r>
    </w:p>
    <w:p>
      <w:pPr>
        <w:adjustRightInd w:val="0"/>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8.</w:t>
      </w:r>
      <w:r>
        <w:rPr>
          <w:rFonts w:hint="eastAsia" w:ascii="宋体" w:hAnsi="宋体" w:cs="宋体"/>
          <w:bCs/>
          <w:szCs w:val="21"/>
          <w:highlight w:val="none"/>
          <w:u w:val="single"/>
        </w:rPr>
        <w:t xml:space="preserve">         （其他补充说明）        </w:t>
      </w:r>
      <w:r>
        <w:rPr>
          <w:rFonts w:hint="eastAsia" w:ascii="宋体" w:hAnsi="宋体" w:cs="宋体"/>
          <w:bCs/>
          <w:szCs w:val="21"/>
          <w:highlight w:val="none"/>
        </w:rPr>
        <w:t>。</w:t>
      </w:r>
    </w:p>
    <w:p>
      <w:pPr>
        <w:adjustRightInd w:val="0"/>
        <w:snapToGrid w:val="0"/>
        <w:spacing w:line="360" w:lineRule="auto"/>
        <w:ind w:firstLine="420" w:firstLineChars="200"/>
        <w:jc w:val="left"/>
        <w:rPr>
          <w:rFonts w:hint="eastAsia" w:ascii="宋体" w:hAnsi="宋体" w:cs="宋体"/>
          <w:bCs/>
          <w:szCs w:val="21"/>
          <w:highlight w:val="none"/>
        </w:rPr>
      </w:pPr>
    </w:p>
    <w:p>
      <w:pPr>
        <w:tabs>
          <w:tab w:val="left" w:pos="7140"/>
          <w:tab w:val="left" w:pos="7560"/>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投  标  人：</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（盖单位公章） </w:t>
      </w:r>
    </w:p>
    <w:p>
      <w:pPr>
        <w:tabs>
          <w:tab w:val="left" w:pos="7140"/>
          <w:tab w:val="left" w:pos="7560"/>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（签名或盖章）</w:t>
      </w:r>
    </w:p>
    <w:p>
      <w:pPr>
        <w:tabs>
          <w:tab w:val="left" w:pos="7035"/>
          <w:tab w:val="left" w:pos="7560"/>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地    址：</w:t>
      </w:r>
      <w:r>
        <w:rPr>
          <w:rFonts w:hint="eastAsia" w:ascii="宋体" w:hAnsi="宋体" w:cs="宋体"/>
          <w:snapToGrid w:val="0"/>
          <w:kern w:val="0"/>
          <w:szCs w:val="21"/>
          <w:highlight w:val="none"/>
          <w:u w:val="single"/>
        </w:rPr>
        <w:t xml:space="preserve">                                                                             </w:t>
      </w:r>
    </w:p>
    <w:p>
      <w:pPr>
        <w:tabs>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网    址：</w:t>
      </w:r>
      <w:r>
        <w:rPr>
          <w:rFonts w:hint="eastAsia" w:ascii="宋体" w:hAnsi="宋体" w:cs="宋体"/>
          <w:snapToGrid w:val="0"/>
          <w:kern w:val="0"/>
          <w:szCs w:val="21"/>
          <w:highlight w:val="none"/>
          <w:u w:val="single"/>
        </w:rPr>
        <w:t xml:space="preserve">                                                                            </w:t>
      </w:r>
    </w:p>
    <w:p>
      <w:pPr>
        <w:tabs>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单位电话（座机）：</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委托代理人电话（手机）：</w:t>
      </w:r>
      <w:r>
        <w:rPr>
          <w:rFonts w:hint="eastAsia" w:ascii="宋体" w:hAnsi="宋体" w:cs="宋体"/>
          <w:snapToGrid w:val="0"/>
          <w:kern w:val="0"/>
          <w:szCs w:val="21"/>
          <w:highlight w:val="none"/>
          <w:u w:val="single"/>
        </w:rPr>
        <w:t xml:space="preserve">                      </w:t>
      </w:r>
    </w:p>
    <w:p>
      <w:pPr>
        <w:tabs>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传    真：</w:t>
      </w:r>
      <w:r>
        <w:rPr>
          <w:rFonts w:hint="eastAsia" w:ascii="宋体" w:hAnsi="宋体" w:cs="宋体"/>
          <w:snapToGrid w:val="0"/>
          <w:kern w:val="0"/>
          <w:szCs w:val="21"/>
          <w:highlight w:val="none"/>
          <w:u w:val="single"/>
        </w:rPr>
        <w:t xml:space="preserve">                                                                            </w:t>
      </w:r>
    </w:p>
    <w:p>
      <w:pPr>
        <w:tabs>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邮政编码：</w:t>
      </w:r>
      <w:r>
        <w:rPr>
          <w:rFonts w:hint="eastAsia" w:ascii="宋体" w:hAnsi="宋体" w:cs="宋体"/>
          <w:snapToGrid w:val="0"/>
          <w:kern w:val="0"/>
          <w:szCs w:val="21"/>
          <w:highlight w:val="none"/>
          <w:u w:val="single"/>
        </w:rPr>
        <w:t xml:space="preserve">                                                                            </w:t>
      </w:r>
    </w:p>
    <w:p>
      <w:pPr>
        <w:tabs>
          <w:tab w:val="left" w:pos="8300"/>
        </w:tabs>
        <w:autoSpaceDE w:val="0"/>
        <w:autoSpaceDN w:val="0"/>
        <w:adjustRightInd w:val="0"/>
        <w:snapToGrid w:val="0"/>
        <w:spacing w:line="360" w:lineRule="auto"/>
        <w:ind w:firstLine="420" w:firstLineChars="200"/>
        <w:jc w:val="left"/>
        <w:rPr>
          <w:rFonts w:hint="eastAsia" w:ascii="宋体" w:hAnsi="宋体" w:cs="宋体"/>
          <w:snapToGrid w:val="0"/>
          <w:kern w:val="0"/>
          <w:szCs w:val="21"/>
          <w:highlight w:val="none"/>
        </w:rPr>
      </w:pPr>
    </w:p>
    <w:p>
      <w:pPr>
        <w:autoSpaceDE w:val="0"/>
        <w:autoSpaceDN w:val="0"/>
        <w:adjustRightInd w:val="0"/>
        <w:snapToGrid w:val="0"/>
        <w:spacing w:line="360" w:lineRule="auto"/>
        <w:ind w:firstLine="6930" w:firstLineChars="3300"/>
        <w:jc w:val="left"/>
        <w:rPr>
          <w:rFonts w:hint="eastAsia" w:ascii="宋体" w:hAnsi="宋体" w:cs="宋体"/>
          <w:snapToGrid w:val="0"/>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ascii="宋体" w:hAnsi="宋体"/>
          <w:kern w:val="0"/>
          <w:szCs w:val="21"/>
          <w:highlight w:val="none"/>
        </w:rPr>
        <w:t>日</w:t>
      </w:r>
    </w:p>
    <w:p>
      <w:pPr>
        <w:adjustRightInd w:val="0"/>
        <w:snapToGrid w:val="0"/>
        <w:spacing w:line="360" w:lineRule="auto"/>
        <w:ind w:firstLine="0" w:firstLineChars="0"/>
        <w:jc w:val="left"/>
        <w:rPr>
          <w:rFonts w:hint="eastAsia" w:hAnsi="宋体" w:cs="黑体"/>
          <w:b/>
          <w:bCs/>
          <w:sz w:val="28"/>
          <w:szCs w:val="28"/>
          <w:highlight w:val="none"/>
        </w:rPr>
      </w:pPr>
      <w:r>
        <w:rPr>
          <w:rFonts w:hint="eastAsia" w:ascii="宋体" w:hAnsi="宋体" w:cs="宋体"/>
          <w:spacing w:val="2"/>
          <w:kern w:val="0"/>
          <w:position w:val="-1"/>
          <w:sz w:val="32"/>
          <w:szCs w:val="32"/>
          <w:highlight w:val="none"/>
        </w:rPr>
        <w:br w:type="page"/>
      </w:r>
      <w:r>
        <w:rPr>
          <w:rFonts w:hint="eastAsia" w:hAnsi="宋体" w:cs="黑体"/>
          <w:b/>
          <w:bCs/>
          <w:sz w:val="28"/>
          <w:szCs w:val="28"/>
          <w:highlight w:val="none"/>
        </w:rPr>
        <w:t>（二）法定代表人身份证明或附有法定代表人身份证明的授权委托书</w:t>
      </w:r>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autoSpaceDE w:val="0"/>
        <w:autoSpaceDN w:val="0"/>
        <w:adjustRightInd w:val="0"/>
        <w:snapToGrid w:val="0"/>
        <w:spacing w:line="480" w:lineRule="auto"/>
        <w:ind w:firstLine="420" w:firstLineChars="2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w:t>
      </w:r>
      <w:r>
        <w:rPr>
          <w:rFonts w:hint="eastAsia" w:ascii="宋体" w:hAnsi="宋体"/>
          <w:kern w:val="0"/>
          <w:szCs w:val="21"/>
          <w:highlight w:val="none"/>
        </w:rPr>
        <w:t>公章</w:t>
      </w:r>
      <w:r>
        <w:rPr>
          <w:rFonts w:ascii="宋体" w:hAnsi="宋体"/>
          <w:kern w:val="0"/>
          <w:szCs w:val="21"/>
          <w:highlight w:val="none"/>
        </w:rPr>
        <w:t>）</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w:t>
      </w:r>
      <w:r>
        <w:rPr>
          <w:rFonts w:hint="eastAsia" w:ascii="宋体" w:hAnsi="宋体"/>
          <w:spacing w:val="-1"/>
          <w:kern w:val="0"/>
          <w:szCs w:val="21"/>
          <w:highlight w:val="none"/>
        </w:rPr>
        <w:t>公章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委托代理人电话（手机）：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pPr>
        <w:tabs>
          <w:tab w:val="left" w:pos="4005"/>
          <w:tab w:val="left" w:pos="4100"/>
          <w:tab w:val="left" w:pos="5040"/>
        </w:tabs>
        <w:autoSpaceDE w:val="0"/>
        <w:autoSpaceDN w:val="0"/>
        <w:adjustRightInd w:val="0"/>
        <w:snapToGrid w:val="0"/>
        <w:spacing w:line="400" w:lineRule="exact"/>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4005"/>
          <w:tab w:val="left" w:pos="4100"/>
          <w:tab w:val="left" w:pos="5040"/>
        </w:tabs>
        <w:autoSpaceDE w:val="0"/>
        <w:autoSpaceDN w:val="0"/>
        <w:adjustRightInd w:val="0"/>
        <w:snapToGrid w:val="0"/>
        <w:spacing w:line="400" w:lineRule="exact"/>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pPr>
        <w:tabs>
          <w:tab w:val="left" w:pos="4005"/>
          <w:tab w:val="left" w:pos="4100"/>
          <w:tab w:val="left" w:pos="5040"/>
        </w:tabs>
        <w:autoSpaceDE w:val="0"/>
        <w:autoSpaceDN w:val="0"/>
        <w:adjustRightInd w:val="0"/>
        <w:snapToGrid w:val="0"/>
        <w:spacing w:line="400" w:lineRule="exact"/>
        <w:ind w:firstLine="420" w:firstLineChars="200"/>
        <w:jc w:val="left"/>
        <w:rPr>
          <w:rFonts w:ascii="宋体" w:hAnsi="宋体"/>
          <w:kern w:val="0"/>
          <w:szCs w:val="21"/>
          <w:highlight w:val="none"/>
        </w:rPr>
      </w:pPr>
      <w:r>
        <w:rPr>
          <w:rFonts w:hint="eastAsia" w:ascii="宋体" w:hAnsi="宋体"/>
          <w:kern w:val="0"/>
          <w:szCs w:val="21"/>
          <w:highlight w:val="none"/>
        </w:rPr>
        <w:t>3、授权委托书</w:t>
      </w:r>
      <w:r>
        <w:rPr>
          <w:rFonts w:ascii="宋体" w:hAnsi="宋体"/>
          <w:kern w:val="0"/>
          <w:szCs w:val="21"/>
          <w:highlight w:val="none"/>
        </w:rPr>
        <w:t>需按上述格式填写完整，不可缺少内容。在此基础上增加内容的不影响其有效性。</w:t>
      </w:r>
    </w:p>
    <w:p>
      <w:pPr>
        <w:pStyle w:val="2"/>
        <w:rPr>
          <w:rFonts w:ascii="宋体" w:hAnsi="宋体"/>
          <w:kern w:val="0"/>
          <w:szCs w:val="21"/>
          <w:highlight w:val="none"/>
        </w:rPr>
      </w:pPr>
    </w:p>
    <w:p>
      <w:pPr>
        <w:tabs>
          <w:tab w:val="left" w:pos="4005"/>
          <w:tab w:val="left" w:pos="4100"/>
          <w:tab w:val="left" w:pos="5040"/>
        </w:tabs>
        <w:autoSpaceDE w:val="0"/>
        <w:autoSpaceDN w:val="0"/>
        <w:adjustRightInd w:val="0"/>
        <w:snapToGrid w:val="0"/>
        <w:spacing w:line="360" w:lineRule="auto"/>
        <w:jc w:val="center"/>
        <w:rPr>
          <w:rFonts w:hint="eastAsia" w:ascii="宋体" w:hAnsi="宋体" w:cs="宋体"/>
          <w:kern w:val="0"/>
          <w:sz w:val="20"/>
          <w:szCs w:val="20"/>
          <w:highlight w:val="none"/>
        </w:rPr>
      </w:pPr>
      <w:r>
        <w:rPr>
          <w:rFonts w:ascii="宋体" w:hAnsi="宋体"/>
          <w:kern w:val="0"/>
          <w:szCs w:val="21"/>
          <w:highlight w:val="none"/>
        </w:rPr>
        <w:br w:type="page"/>
      </w:r>
      <w:bookmarkStart w:id="165" w:name="_Toc513063946"/>
      <w:bookmarkStart w:id="166" w:name="_Toc5364"/>
      <w:r>
        <w:rPr>
          <w:rFonts w:hint="eastAsia" w:hAnsi="宋体" w:cs="黑体"/>
          <w:b/>
          <w:bCs/>
          <w:sz w:val="28"/>
          <w:szCs w:val="28"/>
          <w:highlight w:val="none"/>
        </w:rPr>
        <w:t>（三）其它资料</w:t>
      </w:r>
      <w:bookmarkEnd w:id="165"/>
      <w:bookmarkEnd w:id="166"/>
      <w:r>
        <w:rPr>
          <w:rFonts w:hint="eastAsia" w:hAnsi="宋体" w:cs="黑体"/>
          <w:b/>
          <w:bCs/>
          <w:sz w:val="28"/>
          <w:szCs w:val="28"/>
          <w:highlight w:val="none"/>
        </w:rPr>
        <w:t>（如有）</w:t>
      </w:r>
      <w:r>
        <w:rPr>
          <w:rFonts w:hint="eastAsia" w:hAnsi="宋体" w:cs="黑体"/>
          <w:b/>
          <w:bCs/>
          <w:sz w:val="28"/>
          <w:szCs w:val="28"/>
          <w:highlight w:val="none"/>
        </w:rPr>
        <w:br w:type="page"/>
      </w:r>
    </w:p>
    <w:p>
      <w:pPr>
        <w:pStyle w:val="13"/>
        <w:rPr>
          <w:rFonts w:hint="eastAsia" w:ascii="宋体" w:hAnsi="宋体" w:eastAsia="宋体" w:cs="宋体"/>
          <w:highlight w:val="none"/>
        </w:rPr>
      </w:pPr>
    </w:p>
    <w:p>
      <w:pPr>
        <w:pStyle w:val="26"/>
        <w:spacing w:after="0"/>
        <w:jc w:val="center"/>
        <w:outlineLvl w:val="1"/>
        <w:rPr>
          <w:rFonts w:hint="eastAsia" w:ascii="宋体" w:hAnsi="宋体" w:eastAsia="宋体" w:cs="宋体"/>
          <w:b/>
          <w:bCs/>
          <w:sz w:val="28"/>
          <w:szCs w:val="28"/>
          <w:highlight w:val="none"/>
        </w:rPr>
      </w:pPr>
      <w:bookmarkStart w:id="167" w:name="_Toc20768"/>
      <w:bookmarkStart w:id="168" w:name="_Toc32467"/>
      <w:bookmarkStart w:id="169" w:name="_Toc28925"/>
      <w:bookmarkStart w:id="170" w:name="_Toc26464"/>
      <w:bookmarkStart w:id="171" w:name="_Toc13052"/>
      <w:r>
        <w:rPr>
          <w:rFonts w:hint="eastAsia" w:ascii="宋体" w:hAnsi="宋体" w:eastAsia="宋体" w:cs="宋体"/>
          <w:b/>
          <w:bCs/>
          <w:sz w:val="28"/>
          <w:szCs w:val="28"/>
          <w:highlight w:val="none"/>
        </w:rPr>
        <w:t>二、资格审查部分</w:t>
      </w:r>
      <w:bookmarkEnd w:id="167"/>
      <w:bookmarkEnd w:id="168"/>
      <w:bookmarkEnd w:id="169"/>
      <w:bookmarkEnd w:id="170"/>
      <w:bookmarkEnd w:id="171"/>
    </w:p>
    <w:p>
      <w:pPr>
        <w:pStyle w:val="17"/>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6"/>
        <w:snapToGrid w:val="0"/>
        <w:spacing w:after="0" w:line="360" w:lineRule="auto"/>
        <w:jc w:val="center"/>
        <w:rPr>
          <w:rFonts w:hint="eastAsia" w:ascii="宋体" w:hAnsi="宋体" w:eastAsia="宋体" w:cs="宋体"/>
          <w:b/>
          <w:bCs/>
          <w:sz w:val="28"/>
          <w:szCs w:val="28"/>
          <w:highlight w:val="none"/>
        </w:rPr>
      </w:pPr>
      <w:bookmarkStart w:id="172" w:name="_Toc19915"/>
      <w:bookmarkStart w:id="173" w:name="_Toc264113991"/>
      <w:bookmarkStart w:id="174" w:name="_Toc843"/>
      <w:bookmarkStart w:id="175" w:name="_Toc197397336"/>
      <w:bookmarkStart w:id="176" w:name="_Toc197396398"/>
      <w:bookmarkStart w:id="177" w:name="_Toc513055523"/>
      <w:bookmarkStart w:id="178" w:name="_Toc513063951"/>
      <w:bookmarkStart w:id="179" w:name="_Toc513055406"/>
      <w:bookmarkStart w:id="180" w:name="_Toc262170625"/>
      <w:r>
        <w:rPr>
          <w:rFonts w:hint="eastAsia" w:ascii="宋体" w:hAnsi="宋体" w:eastAsia="宋体" w:cs="宋体"/>
          <w:b/>
          <w:bCs/>
          <w:sz w:val="28"/>
          <w:szCs w:val="28"/>
          <w:highlight w:val="none"/>
        </w:rPr>
        <w:t>（一）投标人基本情况表</w:t>
      </w:r>
      <w:bookmarkEnd w:id="172"/>
      <w:bookmarkEnd w:id="173"/>
      <w:bookmarkEnd w:id="174"/>
      <w:bookmarkEnd w:id="175"/>
      <w:bookmarkEnd w:id="176"/>
      <w:bookmarkEnd w:id="177"/>
      <w:bookmarkEnd w:id="178"/>
      <w:bookmarkEnd w:id="179"/>
      <w:bookmarkEnd w:id="180"/>
    </w:p>
    <w:tbl>
      <w:tblPr>
        <w:tblStyle w:val="15"/>
        <w:tblW w:w="9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注册地址</w:t>
            </w:r>
          </w:p>
        </w:tc>
        <w:tc>
          <w:tcPr>
            <w:tcW w:w="4132" w:type="dxa"/>
            <w:gridSpan w:val="3"/>
            <w:vAlign w:val="center"/>
          </w:tcPr>
          <w:p>
            <w:pPr>
              <w:jc w:val="center"/>
              <w:rPr>
                <w:rFonts w:hint="eastAsia" w:ascii="宋体" w:hAnsi="宋体" w:cs="宋体"/>
                <w:szCs w:val="21"/>
                <w:highlight w:val="none"/>
              </w:rPr>
            </w:pPr>
          </w:p>
        </w:tc>
        <w:tc>
          <w:tcPr>
            <w:tcW w:w="1089" w:type="dxa"/>
            <w:vAlign w:val="center"/>
          </w:tcPr>
          <w:p>
            <w:pPr>
              <w:jc w:val="center"/>
              <w:rPr>
                <w:rFonts w:hint="eastAsia" w:ascii="宋体" w:hAnsi="宋体" w:cs="宋体"/>
                <w:szCs w:val="21"/>
                <w:highlight w:val="none"/>
              </w:rPr>
            </w:pPr>
            <w:r>
              <w:rPr>
                <w:rFonts w:hint="eastAsia" w:ascii="宋体" w:hAnsi="宋体" w:cs="宋体"/>
                <w:szCs w:val="21"/>
                <w:highlight w:val="none"/>
              </w:rPr>
              <w:t>邮政编码</w:t>
            </w:r>
          </w:p>
        </w:tc>
        <w:tc>
          <w:tcPr>
            <w:tcW w:w="2329" w:type="dxa"/>
            <w:gridSpan w:val="3"/>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Merge w:val="restart"/>
            <w:vAlign w:val="center"/>
          </w:tcPr>
          <w:p>
            <w:pPr>
              <w:jc w:val="center"/>
              <w:rPr>
                <w:rFonts w:hint="eastAsia" w:ascii="宋体" w:hAnsi="宋体" w:cs="宋体"/>
                <w:szCs w:val="21"/>
                <w:highlight w:val="none"/>
              </w:rPr>
            </w:pPr>
            <w:r>
              <w:rPr>
                <w:rFonts w:hint="eastAsia" w:ascii="宋体" w:hAnsi="宋体" w:cs="宋体"/>
                <w:szCs w:val="21"/>
                <w:highlight w:val="none"/>
              </w:rPr>
              <w:t>联系方式</w:t>
            </w:r>
          </w:p>
        </w:tc>
        <w:tc>
          <w:tcPr>
            <w:tcW w:w="1077" w:type="dxa"/>
            <w:vAlign w:val="center"/>
          </w:tcPr>
          <w:p>
            <w:pPr>
              <w:jc w:val="center"/>
              <w:rPr>
                <w:rFonts w:hint="eastAsia" w:ascii="宋体" w:hAnsi="宋体" w:cs="宋体"/>
                <w:szCs w:val="21"/>
                <w:highlight w:val="none"/>
              </w:rPr>
            </w:pPr>
            <w:r>
              <w:rPr>
                <w:rFonts w:hint="eastAsia" w:ascii="宋体" w:hAnsi="宋体" w:cs="宋体"/>
                <w:szCs w:val="21"/>
                <w:highlight w:val="none"/>
              </w:rPr>
              <w:t>联系人</w:t>
            </w:r>
          </w:p>
        </w:tc>
        <w:tc>
          <w:tcPr>
            <w:tcW w:w="3055" w:type="dxa"/>
            <w:gridSpan w:val="2"/>
            <w:vAlign w:val="center"/>
          </w:tcPr>
          <w:p>
            <w:pPr>
              <w:jc w:val="center"/>
              <w:rPr>
                <w:rFonts w:hint="eastAsia" w:ascii="宋体" w:hAnsi="宋体" w:cs="宋体"/>
                <w:szCs w:val="21"/>
                <w:highlight w:val="none"/>
              </w:rPr>
            </w:pPr>
          </w:p>
        </w:tc>
        <w:tc>
          <w:tcPr>
            <w:tcW w:w="1089" w:type="dxa"/>
            <w:vAlign w:val="center"/>
          </w:tcPr>
          <w:p>
            <w:pPr>
              <w:jc w:val="center"/>
              <w:rPr>
                <w:rFonts w:hint="eastAsia" w:ascii="宋体" w:hAnsi="宋体" w:cs="宋体"/>
                <w:szCs w:val="21"/>
                <w:highlight w:val="none"/>
              </w:rPr>
            </w:pPr>
            <w:r>
              <w:rPr>
                <w:rFonts w:hint="eastAsia" w:ascii="宋体" w:hAnsi="宋体" w:cs="宋体"/>
                <w:szCs w:val="21"/>
                <w:highlight w:val="none"/>
              </w:rPr>
              <w:t>电话</w:t>
            </w:r>
          </w:p>
        </w:tc>
        <w:tc>
          <w:tcPr>
            <w:tcW w:w="2329" w:type="dxa"/>
            <w:gridSpan w:val="3"/>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Merge w:val="continue"/>
            <w:vAlign w:val="center"/>
          </w:tcPr>
          <w:p>
            <w:pPr>
              <w:jc w:val="center"/>
              <w:rPr>
                <w:rFonts w:hint="eastAsia" w:ascii="宋体" w:hAnsi="宋体" w:cs="宋体"/>
                <w:szCs w:val="21"/>
                <w:highlight w:val="none"/>
              </w:rPr>
            </w:pPr>
          </w:p>
        </w:tc>
        <w:tc>
          <w:tcPr>
            <w:tcW w:w="1077" w:type="dxa"/>
            <w:vAlign w:val="center"/>
          </w:tcPr>
          <w:p>
            <w:pPr>
              <w:jc w:val="center"/>
              <w:rPr>
                <w:rFonts w:hint="eastAsia" w:ascii="宋体" w:hAnsi="宋体" w:cs="宋体"/>
                <w:szCs w:val="21"/>
                <w:highlight w:val="none"/>
              </w:rPr>
            </w:pPr>
            <w:r>
              <w:rPr>
                <w:rFonts w:hint="eastAsia" w:ascii="宋体" w:hAnsi="宋体" w:cs="宋体"/>
                <w:szCs w:val="21"/>
                <w:highlight w:val="none"/>
              </w:rPr>
              <w:t>传真</w:t>
            </w:r>
          </w:p>
        </w:tc>
        <w:tc>
          <w:tcPr>
            <w:tcW w:w="3055" w:type="dxa"/>
            <w:gridSpan w:val="2"/>
            <w:vAlign w:val="center"/>
          </w:tcPr>
          <w:p>
            <w:pPr>
              <w:jc w:val="center"/>
              <w:rPr>
                <w:rFonts w:hint="eastAsia" w:ascii="宋体" w:hAnsi="宋体" w:cs="宋体"/>
                <w:szCs w:val="21"/>
                <w:highlight w:val="none"/>
              </w:rPr>
            </w:pPr>
          </w:p>
        </w:tc>
        <w:tc>
          <w:tcPr>
            <w:tcW w:w="1089" w:type="dxa"/>
            <w:vAlign w:val="center"/>
          </w:tcPr>
          <w:p>
            <w:pPr>
              <w:jc w:val="center"/>
              <w:rPr>
                <w:rFonts w:hint="eastAsia" w:ascii="宋体" w:hAnsi="宋体" w:cs="宋体"/>
                <w:szCs w:val="21"/>
                <w:highlight w:val="none"/>
              </w:rPr>
            </w:pPr>
            <w:r>
              <w:rPr>
                <w:rFonts w:hint="eastAsia" w:ascii="宋体" w:hAnsi="宋体" w:cs="宋体"/>
                <w:szCs w:val="21"/>
                <w:highlight w:val="none"/>
              </w:rPr>
              <w:t>网址</w:t>
            </w:r>
          </w:p>
        </w:tc>
        <w:tc>
          <w:tcPr>
            <w:tcW w:w="2329" w:type="dxa"/>
            <w:gridSpan w:val="3"/>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组织结构</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法定代表人</w:t>
            </w:r>
          </w:p>
        </w:tc>
        <w:tc>
          <w:tcPr>
            <w:tcW w:w="1077" w:type="dxa"/>
            <w:vAlign w:val="center"/>
          </w:tcPr>
          <w:p>
            <w:pPr>
              <w:jc w:val="center"/>
              <w:rPr>
                <w:rFonts w:hint="eastAsia" w:ascii="宋体" w:hAnsi="宋体" w:cs="宋体"/>
                <w:szCs w:val="21"/>
                <w:highlight w:val="none"/>
              </w:rPr>
            </w:pPr>
            <w:r>
              <w:rPr>
                <w:rFonts w:hint="eastAsia" w:ascii="宋体" w:hAnsi="宋体" w:cs="宋体"/>
                <w:szCs w:val="21"/>
                <w:highlight w:val="none"/>
              </w:rPr>
              <w:t>姓名</w:t>
            </w:r>
          </w:p>
        </w:tc>
        <w:tc>
          <w:tcPr>
            <w:tcW w:w="1803" w:type="dxa"/>
            <w:vAlign w:val="center"/>
          </w:tcPr>
          <w:p>
            <w:pPr>
              <w:jc w:val="center"/>
              <w:rPr>
                <w:rFonts w:hint="eastAsia" w:ascii="宋体" w:hAnsi="宋体" w:cs="宋体"/>
                <w:szCs w:val="21"/>
                <w:highlight w:val="none"/>
              </w:rPr>
            </w:pPr>
          </w:p>
        </w:tc>
        <w:tc>
          <w:tcPr>
            <w:tcW w:w="1252" w:type="dxa"/>
            <w:vAlign w:val="center"/>
          </w:tcPr>
          <w:p>
            <w:pPr>
              <w:jc w:val="center"/>
              <w:rPr>
                <w:rFonts w:hint="eastAsia" w:ascii="宋体" w:hAnsi="宋体" w:cs="宋体"/>
                <w:szCs w:val="21"/>
                <w:highlight w:val="none"/>
              </w:rPr>
            </w:pPr>
            <w:r>
              <w:rPr>
                <w:rFonts w:hint="eastAsia" w:ascii="宋体" w:hAnsi="宋体" w:cs="宋体"/>
                <w:szCs w:val="21"/>
                <w:highlight w:val="none"/>
              </w:rPr>
              <w:t>技术职称</w:t>
            </w:r>
          </w:p>
        </w:tc>
        <w:tc>
          <w:tcPr>
            <w:tcW w:w="1265" w:type="dxa"/>
            <w:gridSpan w:val="2"/>
            <w:vAlign w:val="center"/>
          </w:tcPr>
          <w:p>
            <w:pPr>
              <w:jc w:val="center"/>
              <w:rPr>
                <w:rFonts w:hint="eastAsia" w:ascii="宋体" w:hAnsi="宋体" w:cs="宋体"/>
                <w:szCs w:val="21"/>
                <w:highlight w:val="none"/>
              </w:rPr>
            </w:pPr>
          </w:p>
        </w:tc>
        <w:tc>
          <w:tcPr>
            <w:tcW w:w="723" w:type="dxa"/>
            <w:vAlign w:val="center"/>
          </w:tcPr>
          <w:p>
            <w:pPr>
              <w:jc w:val="center"/>
              <w:rPr>
                <w:rFonts w:hint="eastAsia" w:ascii="宋体" w:hAnsi="宋体" w:cs="宋体"/>
                <w:szCs w:val="21"/>
                <w:highlight w:val="none"/>
              </w:rPr>
            </w:pPr>
            <w:r>
              <w:rPr>
                <w:rFonts w:hint="eastAsia" w:ascii="宋体" w:hAnsi="宋体" w:cs="宋体"/>
                <w:szCs w:val="21"/>
                <w:highlight w:val="none"/>
              </w:rPr>
              <w:t>电话</w:t>
            </w:r>
          </w:p>
        </w:tc>
        <w:tc>
          <w:tcPr>
            <w:tcW w:w="1430"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成立时间</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企业资质等级</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营业执照号</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注册资金</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开户银行</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账号</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员工总人数</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经营范围</w:t>
            </w:r>
          </w:p>
        </w:tc>
        <w:tc>
          <w:tcPr>
            <w:tcW w:w="7550" w:type="dxa"/>
            <w:gridSpan w:val="7"/>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1980" w:type="dxa"/>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c>
          <w:tcPr>
            <w:tcW w:w="7550" w:type="dxa"/>
            <w:gridSpan w:val="7"/>
            <w:vAlign w:val="center"/>
          </w:tcPr>
          <w:p>
            <w:pPr>
              <w:jc w:val="center"/>
              <w:rPr>
                <w:rFonts w:hint="eastAsia" w:ascii="宋体" w:hAnsi="宋体" w:cs="宋体"/>
                <w:szCs w:val="21"/>
                <w:highlight w:val="none"/>
              </w:rPr>
            </w:pPr>
          </w:p>
        </w:tc>
      </w:tr>
    </w:tbl>
    <w:p>
      <w:pPr>
        <w:spacing w:line="360" w:lineRule="auto"/>
        <w:rPr>
          <w:rFonts w:hint="eastAsia" w:ascii="宋体" w:hAnsi="宋体" w:cs="宋体"/>
          <w:bCs/>
          <w:szCs w:val="21"/>
          <w:highlight w:val="none"/>
        </w:rPr>
      </w:pPr>
    </w:p>
    <w:p>
      <w:pPr>
        <w:spacing w:line="360" w:lineRule="auto"/>
        <w:rPr>
          <w:bCs/>
          <w:sz w:val="18"/>
          <w:szCs w:val="18"/>
          <w:highlight w:val="none"/>
        </w:rPr>
      </w:pPr>
    </w:p>
    <w:p>
      <w:pPr>
        <w:widowControl/>
        <w:jc w:val="left"/>
        <w:rPr>
          <w:snapToGrid w:val="0"/>
          <w:sz w:val="24"/>
          <w:szCs w:val="24"/>
          <w:highlight w:val="none"/>
        </w:rPr>
      </w:pPr>
      <w:r>
        <w:rPr>
          <w:snapToGrid w:val="0"/>
          <w:sz w:val="24"/>
          <w:szCs w:val="24"/>
          <w:highlight w:val="none"/>
        </w:rPr>
        <w:br w:type="page"/>
      </w:r>
    </w:p>
    <w:p>
      <w:pPr>
        <w:pStyle w:val="26"/>
        <w:snapToGrid w:val="0"/>
        <w:spacing w:after="0" w:line="360" w:lineRule="auto"/>
        <w:jc w:val="center"/>
        <w:rPr>
          <w:rFonts w:hint="eastAsia" w:ascii="宋体" w:hAnsi="宋体" w:eastAsia="宋体" w:cs="宋体"/>
          <w:b/>
          <w:bCs/>
          <w:sz w:val="28"/>
          <w:szCs w:val="28"/>
          <w:highlight w:val="none"/>
        </w:rPr>
      </w:pPr>
      <w:bookmarkStart w:id="181" w:name="_Toc21309"/>
      <w:bookmarkStart w:id="182" w:name="_Toc513063952"/>
      <w:r>
        <w:rPr>
          <w:rFonts w:hint="eastAsia" w:ascii="宋体" w:hAnsi="宋体" w:eastAsia="宋体" w:cs="宋体"/>
          <w:b/>
          <w:bCs/>
          <w:sz w:val="28"/>
          <w:szCs w:val="28"/>
          <w:highlight w:val="none"/>
        </w:rPr>
        <w:t>（二）营业执照</w:t>
      </w:r>
    </w:p>
    <w:p>
      <w:pPr>
        <w:pStyle w:val="26"/>
        <w:spacing w:after="0"/>
        <w:ind w:left="1"/>
        <w:jc w:val="center"/>
        <w:rPr>
          <w:rFonts w:hAnsi="宋体" w:cs="黑体"/>
          <w:b/>
          <w:bCs/>
          <w:sz w:val="28"/>
          <w:szCs w:val="28"/>
          <w:highlight w:val="none"/>
        </w:rPr>
      </w:pPr>
    </w:p>
    <w:p>
      <w:pPr>
        <w:pStyle w:val="26"/>
        <w:spacing w:after="0"/>
        <w:ind w:left="1"/>
        <w:jc w:val="center"/>
        <w:rPr>
          <w:rFonts w:hAnsi="宋体" w:cs="黑体"/>
          <w:b/>
          <w:bCs/>
          <w:sz w:val="28"/>
          <w:szCs w:val="28"/>
          <w:highlight w:val="none"/>
        </w:rPr>
      </w:pPr>
    </w:p>
    <w:p>
      <w:pPr>
        <w:pStyle w:val="26"/>
        <w:spacing w:after="0"/>
        <w:ind w:left="1"/>
        <w:jc w:val="center"/>
        <w:rPr>
          <w:rFonts w:hAnsi="宋体" w:cs="黑体"/>
          <w:b/>
          <w:bCs/>
          <w:sz w:val="28"/>
          <w:szCs w:val="28"/>
          <w:highlight w:val="none"/>
        </w:rPr>
      </w:pPr>
    </w:p>
    <w:p>
      <w:pPr>
        <w:pStyle w:val="26"/>
        <w:snapToGrid w:val="0"/>
        <w:spacing w:after="0" w:line="360" w:lineRule="auto"/>
        <w:jc w:val="center"/>
        <w:rPr>
          <w:rFonts w:hint="eastAsia" w:ascii="宋体" w:hAnsi="宋体" w:eastAsia="宋体" w:cs="宋体"/>
          <w:b/>
          <w:bCs/>
          <w:sz w:val="28"/>
          <w:szCs w:val="28"/>
          <w:highlight w:val="none"/>
        </w:rPr>
      </w:pPr>
      <w:r>
        <w:rPr>
          <w:rFonts w:hint="eastAsia" w:hAnsi="宋体" w:cs="黑体"/>
          <w:b/>
          <w:bCs/>
          <w:sz w:val="28"/>
          <w:szCs w:val="28"/>
          <w:highlight w:val="none"/>
        </w:rPr>
        <w:br w:type="page"/>
      </w:r>
      <w:r>
        <w:rPr>
          <w:rFonts w:hint="eastAsia" w:ascii="宋体" w:hAnsi="宋体" w:eastAsia="宋体" w:cs="宋体"/>
          <w:b/>
          <w:bCs/>
          <w:sz w:val="28"/>
          <w:szCs w:val="28"/>
          <w:highlight w:val="none"/>
        </w:rPr>
        <w:t>（三）</w:t>
      </w:r>
      <w:bookmarkEnd w:id="181"/>
      <w:bookmarkEnd w:id="182"/>
      <w:r>
        <w:rPr>
          <w:rFonts w:hint="eastAsia" w:ascii="宋体" w:hAnsi="宋体" w:eastAsia="宋体" w:cs="宋体"/>
          <w:b/>
          <w:bCs/>
          <w:sz w:val="28"/>
          <w:szCs w:val="28"/>
          <w:highlight w:val="none"/>
        </w:rPr>
        <w:t>资质</w:t>
      </w:r>
      <w:r>
        <w:rPr>
          <w:rFonts w:hint="eastAsia" w:ascii="宋体" w:hAnsi="宋体" w:eastAsia="宋体" w:cs="宋体"/>
          <w:b/>
          <w:bCs/>
          <w:sz w:val="28"/>
          <w:szCs w:val="28"/>
          <w:highlight w:val="none"/>
          <w:lang w:val="en-US" w:eastAsia="zh-CN"/>
        </w:rPr>
        <w:t>要求</w:t>
      </w:r>
    </w:p>
    <w:p>
      <w:pPr>
        <w:pStyle w:val="26"/>
        <w:spacing w:after="0"/>
        <w:ind w:left="1"/>
        <w:jc w:val="center"/>
        <w:rPr>
          <w:rFonts w:hint="eastAsia" w:ascii="宋体" w:hAnsi="宋体" w:eastAsia="宋体" w:cs="宋体"/>
          <w:b/>
          <w:bCs/>
          <w:sz w:val="21"/>
          <w:szCs w:val="21"/>
          <w:highlight w:val="none"/>
        </w:rPr>
      </w:pPr>
      <w:r>
        <w:rPr>
          <w:rFonts w:hint="eastAsia" w:ascii="宋体" w:hAnsi="宋体" w:eastAsia="宋体" w:cs="宋体"/>
          <w:color w:val="000000"/>
          <w:sz w:val="21"/>
          <w:szCs w:val="21"/>
          <w:highlight w:val="none"/>
        </w:rPr>
        <w:t>注：</w:t>
      </w:r>
      <w:r>
        <w:rPr>
          <w:rFonts w:hint="eastAsia" w:ascii="宋体" w:hAnsi="宋体" w:eastAsia="宋体" w:cs="宋体"/>
          <w:snapToGrid w:val="0"/>
          <w:sz w:val="21"/>
          <w:szCs w:val="21"/>
          <w:highlight w:val="none"/>
        </w:rPr>
        <w:t>按投标人须知前附表1.4.1要求提供证明材料。</w:t>
      </w:r>
    </w:p>
    <w:p>
      <w:pPr>
        <w:pStyle w:val="26"/>
        <w:spacing w:after="0"/>
        <w:ind w:left="1"/>
        <w:jc w:val="center"/>
        <w:rPr>
          <w:rFonts w:hAnsi="宋体" w:cs="黑体"/>
          <w:b/>
          <w:bCs/>
          <w:sz w:val="28"/>
          <w:szCs w:val="28"/>
          <w:highlight w:val="none"/>
        </w:rPr>
      </w:pPr>
    </w:p>
    <w:p>
      <w:pPr>
        <w:spacing w:line="360" w:lineRule="auto"/>
        <w:ind w:firstLine="562" w:firstLineChars="200"/>
        <w:jc w:val="center"/>
        <w:rPr>
          <w:b/>
          <w:sz w:val="28"/>
          <w:szCs w:val="28"/>
          <w:highlight w:val="none"/>
        </w:rPr>
      </w:pPr>
      <w:r>
        <w:rPr>
          <w:rFonts w:hint="eastAsia" w:hAnsi="宋体" w:cs="黑体"/>
          <w:b/>
          <w:bCs/>
          <w:sz w:val="28"/>
          <w:szCs w:val="28"/>
          <w:highlight w:val="none"/>
        </w:rPr>
        <w:br w:type="page"/>
      </w:r>
      <w:r>
        <w:rPr>
          <w:rFonts w:hint="eastAsia" w:ascii="Calibri" w:hAnsi="宋体" w:cs="黑体"/>
          <w:b/>
          <w:bCs/>
          <w:kern w:val="0"/>
          <w:sz w:val="28"/>
          <w:szCs w:val="28"/>
          <w:highlight w:val="none"/>
        </w:rPr>
        <w:t>（</w:t>
      </w:r>
      <w:r>
        <w:rPr>
          <w:rFonts w:hint="eastAsia" w:ascii="Calibri" w:hAnsi="宋体" w:cs="黑体"/>
          <w:b/>
          <w:bCs/>
          <w:kern w:val="0"/>
          <w:sz w:val="28"/>
          <w:szCs w:val="28"/>
          <w:highlight w:val="none"/>
          <w:lang w:val="en-US" w:eastAsia="zh-CN"/>
        </w:rPr>
        <w:t>四</w:t>
      </w:r>
      <w:r>
        <w:rPr>
          <w:rFonts w:hint="eastAsia" w:ascii="Calibri" w:hAnsi="宋体" w:cs="黑体"/>
          <w:b/>
          <w:bCs/>
          <w:kern w:val="0"/>
          <w:sz w:val="28"/>
          <w:szCs w:val="28"/>
          <w:highlight w:val="none"/>
        </w:rPr>
        <w:t>）</w:t>
      </w:r>
      <w:r>
        <w:rPr>
          <w:rFonts w:hint="eastAsia"/>
          <w:b/>
          <w:sz w:val="28"/>
          <w:szCs w:val="28"/>
          <w:highlight w:val="none"/>
        </w:rPr>
        <w:t>人员要求</w:t>
      </w:r>
    </w:p>
    <w:p>
      <w:pPr>
        <w:spacing w:line="360" w:lineRule="auto"/>
        <w:jc w:val="center"/>
        <w:rPr>
          <w:b/>
          <w:sz w:val="28"/>
          <w:szCs w:val="28"/>
          <w:highlight w:val="none"/>
        </w:rPr>
      </w:pPr>
      <w:r>
        <w:rPr>
          <w:rFonts w:hint="eastAsia"/>
          <w:b/>
          <w:sz w:val="28"/>
          <w:szCs w:val="28"/>
          <w:highlight w:val="none"/>
        </w:rPr>
        <w:t>拟派项目负责人/技术负责人简历表</w:t>
      </w:r>
    </w:p>
    <w:tbl>
      <w:tblPr>
        <w:tblStyle w:val="15"/>
        <w:tblW w:w="9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5"/>
        <w:gridCol w:w="1850"/>
        <w:gridCol w:w="867"/>
        <w:gridCol w:w="1133"/>
        <w:gridCol w:w="1593"/>
        <w:gridCol w:w="3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trPr>
        <w:tc>
          <w:tcPr>
            <w:tcW w:w="1295" w:type="dxa"/>
            <w:vAlign w:val="center"/>
          </w:tcPr>
          <w:p>
            <w:pPr>
              <w:jc w:val="center"/>
              <w:rPr>
                <w:szCs w:val="21"/>
                <w:highlight w:val="none"/>
              </w:rPr>
            </w:pPr>
            <w:r>
              <w:rPr>
                <w:rFonts w:hint="eastAsia" w:cs="宋体"/>
                <w:szCs w:val="21"/>
                <w:highlight w:val="none"/>
              </w:rPr>
              <w:t>姓名</w:t>
            </w:r>
          </w:p>
        </w:tc>
        <w:tc>
          <w:tcPr>
            <w:tcW w:w="1850" w:type="dxa"/>
            <w:vAlign w:val="center"/>
          </w:tcPr>
          <w:p>
            <w:pPr>
              <w:jc w:val="center"/>
              <w:rPr>
                <w:szCs w:val="21"/>
                <w:highlight w:val="none"/>
              </w:rPr>
            </w:pPr>
          </w:p>
        </w:tc>
        <w:tc>
          <w:tcPr>
            <w:tcW w:w="867" w:type="dxa"/>
            <w:vAlign w:val="center"/>
          </w:tcPr>
          <w:p>
            <w:pPr>
              <w:jc w:val="center"/>
              <w:rPr>
                <w:szCs w:val="21"/>
                <w:highlight w:val="none"/>
              </w:rPr>
            </w:pPr>
            <w:r>
              <w:rPr>
                <w:rFonts w:hint="eastAsia" w:cs="宋体"/>
                <w:szCs w:val="21"/>
                <w:highlight w:val="none"/>
              </w:rPr>
              <w:t>年龄</w:t>
            </w:r>
          </w:p>
        </w:tc>
        <w:tc>
          <w:tcPr>
            <w:tcW w:w="1133" w:type="dxa"/>
            <w:vAlign w:val="center"/>
          </w:tcPr>
          <w:p>
            <w:pPr>
              <w:jc w:val="center"/>
              <w:rPr>
                <w:szCs w:val="21"/>
                <w:highlight w:val="none"/>
              </w:rPr>
            </w:pPr>
          </w:p>
        </w:tc>
        <w:tc>
          <w:tcPr>
            <w:tcW w:w="1593" w:type="dxa"/>
            <w:vAlign w:val="center"/>
          </w:tcPr>
          <w:p>
            <w:pPr>
              <w:jc w:val="center"/>
              <w:rPr>
                <w:szCs w:val="21"/>
                <w:highlight w:val="none"/>
              </w:rPr>
            </w:pPr>
            <w:r>
              <w:rPr>
                <w:rFonts w:hint="eastAsia" w:cs="宋体"/>
                <w:szCs w:val="21"/>
                <w:highlight w:val="none"/>
              </w:rPr>
              <w:t>学历</w:t>
            </w:r>
          </w:p>
        </w:tc>
        <w:tc>
          <w:tcPr>
            <w:tcW w:w="3041" w:type="dxa"/>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1295" w:type="dxa"/>
            <w:vAlign w:val="center"/>
          </w:tcPr>
          <w:p>
            <w:pPr>
              <w:jc w:val="center"/>
              <w:rPr>
                <w:rFonts w:hint="eastAsia" w:eastAsia="宋体" w:cs="宋体"/>
                <w:szCs w:val="21"/>
                <w:highlight w:val="none"/>
                <w:lang w:eastAsia="zh-CN"/>
              </w:rPr>
            </w:pPr>
            <w:r>
              <w:rPr>
                <w:rFonts w:hint="eastAsia" w:cs="宋体"/>
                <w:szCs w:val="21"/>
                <w:highlight w:val="none"/>
                <w:lang w:eastAsia="zh-CN"/>
              </w:rPr>
              <w:t>身份证号</w:t>
            </w:r>
          </w:p>
        </w:tc>
        <w:tc>
          <w:tcPr>
            <w:tcW w:w="8484" w:type="dxa"/>
            <w:gridSpan w:val="5"/>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2" w:hRule="atLeast"/>
        </w:trPr>
        <w:tc>
          <w:tcPr>
            <w:tcW w:w="1295" w:type="dxa"/>
            <w:vAlign w:val="center"/>
          </w:tcPr>
          <w:p>
            <w:pPr>
              <w:jc w:val="center"/>
              <w:rPr>
                <w:rFonts w:hint="eastAsia" w:cs="宋体"/>
                <w:szCs w:val="21"/>
                <w:highlight w:val="none"/>
              </w:rPr>
            </w:pPr>
            <w:r>
              <w:rPr>
                <w:rFonts w:hint="eastAsia" w:cs="宋体"/>
                <w:szCs w:val="21"/>
                <w:highlight w:val="none"/>
              </w:rPr>
              <w:t>专业技术</w:t>
            </w:r>
          </w:p>
          <w:p>
            <w:pPr>
              <w:jc w:val="center"/>
              <w:rPr>
                <w:rFonts w:hint="eastAsia"/>
                <w:szCs w:val="21"/>
                <w:highlight w:val="none"/>
              </w:rPr>
            </w:pPr>
            <w:r>
              <w:rPr>
                <w:rFonts w:hint="eastAsia" w:cs="宋体"/>
                <w:szCs w:val="21"/>
                <w:highlight w:val="none"/>
              </w:rPr>
              <w:t>职称</w:t>
            </w:r>
          </w:p>
        </w:tc>
        <w:tc>
          <w:tcPr>
            <w:tcW w:w="3850" w:type="dxa"/>
            <w:gridSpan w:val="3"/>
            <w:vAlign w:val="center"/>
          </w:tcPr>
          <w:p>
            <w:pPr>
              <w:jc w:val="center"/>
              <w:rPr>
                <w:szCs w:val="21"/>
                <w:highlight w:val="none"/>
              </w:rPr>
            </w:pPr>
          </w:p>
        </w:tc>
        <w:tc>
          <w:tcPr>
            <w:tcW w:w="1593" w:type="dxa"/>
            <w:vAlign w:val="center"/>
          </w:tcPr>
          <w:p>
            <w:pPr>
              <w:jc w:val="center"/>
              <w:rPr>
                <w:szCs w:val="21"/>
                <w:highlight w:val="none"/>
              </w:rPr>
            </w:pPr>
            <w:r>
              <w:rPr>
                <w:rFonts w:hint="eastAsia" w:cs="宋体"/>
                <w:szCs w:val="21"/>
                <w:highlight w:val="none"/>
              </w:rPr>
              <w:t>资格证书</w:t>
            </w:r>
          </w:p>
        </w:tc>
        <w:tc>
          <w:tcPr>
            <w:tcW w:w="3041" w:type="dxa"/>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6" w:hRule="atLeast"/>
        </w:trPr>
        <w:tc>
          <w:tcPr>
            <w:tcW w:w="1295" w:type="dxa"/>
            <w:vAlign w:val="center"/>
          </w:tcPr>
          <w:p>
            <w:pPr>
              <w:jc w:val="center"/>
              <w:rPr>
                <w:rFonts w:hint="eastAsia" w:cs="宋体"/>
                <w:szCs w:val="21"/>
                <w:highlight w:val="none"/>
              </w:rPr>
            </w:pPr>
            <w:r>
              <w:rPr>
                <w:rFonts w:hint="eastAsia" w:cs="宋体"/>
                <w:szCs w:val="21"/>
                <w:highlight w:val="none"/>
              </w:rPr>
              <w:t>拟在本合同任职</w:t>
            </w:r>
          </w:p>
        </w:tc>
        <w:tc>
          <w:tcPr>
            <w:tcW w:w="8484" w:type="dxa"/>
            <w:gridSpan w:val="5"/>
            <w:vAlign w:val="center"/>
          </w:tcPr>
          <w:p>
            <w:pPr>
              <w:jc w:val="center"/>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trPr>
        <w:tc>
          <w:tcPr>
            <w:tcW w:w="1295" w:type="dxa"/>
            <w:vAlign w:val="center"/>
          </w:tcPr>
          <w:p>
            <w:pPr>
              <w:jc w:val="center"/>
              <w:rPr>
                <w:szCs w:val="21"/>
                <w:highlight w:val="none"/>
              </w:rPr>
            </w:pPr>
            <w:r>
              <w:rPr>
                <w:rFonts w:hint="eastAsia" w:cs="宋体"/>
                <w:szCs w:val="21"/>
                <w:highlight w:val="none"/>
              </w:rPr>
              <w:t>毕业学校</w:t>
            </w:r>
          </w:p>
        </w:tc>
        <w:tc>
          <w:tcPr>
            <w:tcW w:w="8484" w:type="dxa"/>
            <w:gridSpan w:val="5"/>
            <w:vAlign w:val="center"/>
          </w:tcPr>
          <w:p>
            <w:pPr>
              <w:jc w:val="center"/>
              <w:rPr>
                <w:szCs w:val="21"/>
                <w:highlight w:val="none"/>
                <w:u w:val="single"/>
              </w:rPr>
            </w:pPr>
            <w:r>
              <w:rPr>
                <w:rFonts w:hint="eastAsia" w:cs="宋体"/>
                <w:szCs w:val="21"/>
                <w:highlight w:val="none"/>
                <w:u w:val="single"/>
              </w:rPr>
              <w:t>年毕业于</w:t>
            </w:r>
            <w:r>
              <w:rPr>
                <w:rFonts w:cs="宋体"/>
                <w:szCs w:val="21"/>
                <w:highlight w:val="none"/>
                <w:u w:val="single"/>
              </w:rPr>
              <w:t xml:space="preserve">        </w:t>
            </w:r>
            <w:r>
              <w:rPr>
                <w:rFonts w:hint="eastAsia" w:cs="宋体"/>
                <w:szCs w:val="21"/>
                <w:highlight w:val="none"/>
                <w:u w:val="single"/>
              </w:rPr>
              <w:t>学校</w:t>
            </w:r>
            <w:r>
              <w:rPr>
                <w:rFonts w:cs="宋体"/>
                <w:szCs w:val="21"/>
                <w:highlight w:val="none"/>
                <w:u w:val="single"/>
              </w:rPr>
              <w:t xml:space="preserve">       </w:t>
            </w:r>
            <w:r>
              <w:rPr>
                <w:rFonts w:hint="eastAsia" w:cs="宋体"/>
                <w:szCs w:val="21"/>
                <w:highlight w:val="none"/>
                <w:u w:val="single"/>
              </w:rPr>
              <w:t>专业</w:t>
            </w:r>
          </w:p>
        </w:tc>
      </w:tr>
    </w:tbl>
    <w:p>
      <w:pPr>
        <w:jc w:val="center"/>
        <w:rPr>
          <w:highlight w:val="none"/>
        </w:rPr>
      </w:pPr>
    </w:p>
    <w:p>
      <w:pPr>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人</w:t>
      </w:r>
      <w:r>
        <w:rPr>
          <w:rFonts w:hint="eastAsia" w:ascii="宋体" w:hAnsi="宋体" w:cs="宋体"/>
          <w:kern w:val="0"/>
          <w:szCs w:val="21"/>
          <w:highlight w:val="none"/>
        </w:rPr>
        <w:t>应</w:t>
      </w:r>
      <w:r>
        <w:rPr>
          <w:rFonts w:hint="eastAsia" w:ascii="宋体" w:hAnsi="宋体" w:cs="宋体"/>
          <w:spacing w:val="-2"/>
          <w:kern w:val="0"/>
          <w:szCs w:val="21"/>
          <w:highlight w:val="none"/>
        </w:rPr>
        <w:t>根</w:t>
      </w:r>
      <w:r>
        <w:rPr>
          <w:rFonts w:hint="eastAsia" w:ascii="宋体" w:hAnsi="宋体" w:cs="宋体"/>
          <w:kern w:val="0"/>
          <w:szCs w:val="21"/>
          <w:highlight w:val="none"/>
        </w:rPr>
        <w:t>据</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人</w:t>
      </w:r>
      <w:r>
        <w:rPr>
          <w:rFonts w:hint="eastAsia" w:ascii="宋体" w:hAnsi="宋体" w:cs="宋体"/>
          <w:kern w:val="0"/>
          <w:szCs w:val="21"/>
          <w:highlight w:val="none"/>
        </w:rPr>
        <w:t>须</w:t>
      </w:r>
      <w:r>
        <w:rPr>
          <w:rFonts w:hint="eastAsia" w:ascii="宋体" w:hAnsi="宋体" w:cs="宋体"/>
          <w:spacing w:val="-2"/>
          <w:kern w:val="0"/>
          <w:szCs w:val="21"/>
          <w:highlight w:val="none"/>
        </w:rPr>
        <w:t>知前附表</w:t>
      </w:r>
      <w:r>
        <w:rPr>
          <w:rFonts w:hint="eastAsia" w:ascii="宋体" w:hAnsi="宋体" w:cs="宋体"/>
          <w:kern w:val="0"/>
          <w:szCs w:val="21"/>
          <w:highlight w:val="none"/>
        </w:rPr>
        <w:t>第1.4.1</w:t>
      </w:r>
      <w:r>
        <w:rPr>
          <w:rFonts w:hint="eastAsia" w:ascii="宋体" w:hAnsi="宋体" w:cs="宋体"/>
          <w:spacing w:val="-2"/>
          <w:kern w:val="0"/>
          <w:szCs w:val="21"/>
          <w:highlight w:val="none"/>
        </w:rPr>
        <w:t>项</w:t>
      </w:r>
      <w:r>
        <w:rPr>
          <w:rFonts w:hint="eastAsia" w:ascii="宋体" w:hAnsi="宋体" w:cs="宋体"/>
          <w:kern w:val="0"/>
          <w:szCs w:val="21"/>
          <w:highlight w:val="none"/>
        </w:rPr>
        <w:t>的</w:t>
      </w:r>
      <w:r>
        <w:rPr>
          <w:rFonts w:hint="eastAsia" w:ascii="宋体" w:hAnsi="宋体" w:cs="宋体"/>
          <w:spacing w:val="-2"/>
          <w:kern w:val="0"/>
          <w:szCs w:val="21"/>
          <w:highlight w:val="none"/>
        </w:rPr>
        <w:t>要</w:t>
      </w:r>
      <w:r>
        <w:rPr>
          <w:rFonts w:hint="eastAsia" w:ascii="宋体" w:hAnsi="宋体" w:cs="宋体"/>
          <w:kern w:val="0"/>
          <w:szCs w:val="21"/>
          <w:highlight w:val="none"/>
        </w:rPr>
        <w:t>求</w:t>
      </w:r>
      <w:r>
        <w:rPr>
          <w:rFonts w:hint="eastAsia" w:ascii="宋体" w:hAnsi="宋体" w:cs="宋体"/>
          <w:spacing w:val="-2"/>
          <w:kern w:val="0"/>
          <w:szCs w:val="21"/>
          <w:highlight w:val="none"/>
        </w:rPr>
        <w:t>在本</w:t>
      </w:r>
      <w:r>
        <w:rPr>
          <w:rFonts w:hint="eastAsia" w:ascii="宋体" w:hAnsi="宋体" w:cs="宋体"/>
          <w:kern w:val="0"/>
          <w:szCs w:val="21"/>
          <w:highlight w:val="none"/>
        </w:rPr>
        <w:t>表后</w:t>
      </w:r>
      <w:r>
        <w:rPr>
          <w:rFonts w:hint="eastAsia" w:ascii="宋体" w:hAnsi="宋体" w:cs="宋体"/>
          <w:spacing w:val="-2"/>
          <w:kern w:val="0"/>
          <w:szCs w:val="21"/>
          <w:highlight w:val="none"/>
        </w:rPr>
        <w:t>附</w:t>
      </w:r>
      <w:r>
        <w:rPr>
          <w:rFonts w:hint="eastAsia" w:ascii="宋体" w:hAnsi="宋体" w:cs="宋体"/>
          <w:kern w:val="0"/>
          <w:szCs w:val="21"/>
          <w:highlight w:val="none"/>
        </w:rPr>
        <w:t>相</w:t>
      </w:r>
      <w:r>
        <w:rPr>
          <w:rFonts w:hint="eastAsia" w:ascii="宋体" w:hAnsi="宋体" w:cs="宋体"/>
          <w:spacing w:val="-2"/>
          <w:kern w:val="0"/>
          <w:szCs w:val="21"/>
          <w:highlight w:val="none"/>
        </w:rPr>
        <w:t>关</w:t>
      </w:r>
      <w:r>
        <w:rPr>
          <w:rFonts w:hint="eastAsia" w:ascii="宋体" w:hAnsi="宋体" w:cs="宋体"/>
          <w:kern w:val="0"/>
          <w:szCs w:val="21"/>
          <w:highlight w:val="none"/>
        </w:rPr>
        <w:t>证</w:t>
      </w:r>
      <w:r>
        <w:rPr>
          <w:rFonts w:hint="eastAsia" w:ascii="宋体" w:hAnsi="宋体" w:cs="宋体"/>
          <w:spacing w:val="-2"/>
          <w:kern w:val="0"/>
          <w:szCs w:val="21"/>
          <w:highlight w:val="none"/>
        </w:rPr>
        <w:t>明</w:t>
      </w:r>
      <w:r>
        <w:rPr>
          <w:rFonts w:hint="eastAsia" w:ascii="宋体" w:hAnsi="宋体" w:cs="宋体"/>
          <w:kern w:val="0"/>
          <w:szCs w:val="21"/>
          <w:highlight w:val="none"/>
        </w:rPr>
        <w:t>材</w:t>
      </w:r>
      <w:r>
        <w:rPr>
          <w:rFonts w:hint="eastAsia" w:ascii="宋体" w:hAnsi="宋体" w:cs="宋体"/>
          <w:spacing w:val="-2"/>
          <w:kern w:val="0"/>
          <w:szCs w:val="21"/>
          <w:highlight w:val="none"/>
        </w:rPr>
        <w:t>料</w:t>
      </w:r>
      <w:r>
        <w:rPr>
          <w:rFonts w:hint="eastAsia" w:ascii="宋体" w:hAnsi="宋体" w:cs="宋体"/>
          <w:kern w:val="0"/>
          <w:szCs w:val="21"/>
          <w:highlight w:val="none"/>
        </w:rPr>
        <w:t>。</w:t>
      </w:r>
    </w:p>
    <w:p>
      <w:pPr>
        <w:jc w:val="left"/>
        <w:rPr>
          <w:highlight w:val="none"/>
        </w:rPr>
      </w:pPr>
      <w:r>
        <w:rPr>
          <w:rFonts w:hint="eastAsia" w:ascii="宋体" w:hAnsi="宋体" w:cs="宋体"/>
          <w:kern w:val="0"/>
          <w:szCs w:val="21"/>
          <w:highlight w:val="none"/>
        </w:rPr>
        <w:br w:type="page"/>
      </w:r>
    </w:p>
    <w:p>
      <w:pPr>
        <w:autoSpaceDE w:val="0"/>
        <w:autoSpaceDN w:val="0"/>
        <w:adjustRightInd w:val="0"/>
        <w:spacing w:before="120" w:after="120"/>
        <w:ind w:right="105"/>
        <w:jc w:val="center"/>
        <w:rPr>
          <w:rFonts w:hint="eastAsia" w:ascii="Calibri" w:hAnsi="宋体" w:cs="黑体"/>
          <w:b/>
          <w:bCs/>
          <w:kern w:val="0"/>
          <w:sz w:val="28"/>
          <w:szCs w:val="28"/>
          <w:highlight w:val="none"/>
        </w:rPr>
      </w:pPr>
      <w:r>
        <w:rPr>
          <w:rFonts w:hint="eastAsia" w:ascii="Calibri" w:hAnsi="宋体" w:cs="黑体"/>
          <w:b/>
          <w:bCs/>
          <w:kern w:val="0"/>
          <w:sz w:val="28"/>
          <w:szCs w:val="28"/>
          <w:highlight w:val="none"/>
        </w:rPr>
        <w:t>（</w:t>
      </w:r>
      <w:r>
        <w:rPr>
          <w:rFonts w:hint="eastAsia" w:ascii="Calibri" w:hAnsi="宋体" w:cs="黑体"/>
          <w:b/>
          <w:bCs/>
          <w:kern w:val="0"/>
          <w:sz w:val="28"/>
          <w:szCs w:val="28"/>
          <w:highlight w:val="none"/>
          <w:lang w:val="en-US" w:eastAsia="zh-CN"/>
        </w:rPr>
        <w:t>五</w:t>
      </w:r>
      <w:r>
        <w:rPr>
          <w:rFonts w:hint="eastAsia" w:ascii="Calibri" w:hAnsi="宋体" w:cs="黑体"/>
          <w:b/>
          <w:bCs/>
          <w:kern w:val="0"/>
          <w:sz w:val="28"/>
          <w:szCs w:val="28"/>
          <w:highlight w:val="none"/>
        </w:rPr>
        <w:t>）投标截止日投标资格情况</w:t>
      </w:r>
    </w:p>
    <w:p>
      <w:pPr>
        <w:adjustRightInd w:val="0"/>
        <w:snapToGrid w:val="0"/>
        <w:spacing w:line="360" w:lineRule="auto"/>
        <w:ind w:firstLine="561"/>
        <w:jc w:val="center"/>
        <w:rPr>
          <w:rFonts w:hint="eastAsia" w:ascii="宋体" w:hAnsi="宋体"/>
          <w:b/>
          <w:szCs w:val="21"/>
          <w:highlight w:val="none"/>
        </w:rPr>
      </w:pPr>
      <w:r>
        <w:rPr>
          <w:rFonts w:hint="eastAsia" w:ascii="宋体" w:hAnsi="宋体"/>
          <w:b/>
          <w:sz w:val="28"/>
          <w:szCs w:val="28"/>
          <w:highlight w:val="none"/>
        </w:rPr>
        <w:t>承诺</w:t>
      </w:r>
    </w:p>
    <w:p>
      <w:pPr>
        <w:adjustRightInd w:val="0"/>
        <w:snapToGrid w:val="0"/>
        <w:spacing w:line="360" w:lineRule="auto"/>
        <w:rPr>
          <w:rFonts w:ascii="宋体" w:hAnsi="宋体"/>
          <w:szCs w:val="21"/>
          <w:highlight w:val="none"/>
          <w:u w:val="single"/>
        </w:rPr>
      </w:pPr>
      <w:r>
        <w:rPr>
          <w:rFonts w:hint="eastAsia" w:ascii="宋体" w:hAnsi="宋体"/>
          <w:szCs w:val="21"/>
          <w:highlight w:val="none"/>
          <w:u w:val="single"/>
        </w:rPr>
        <w:t xml:space="preserve">        （招标人名称）</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（投标人名称）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1、我公司投标截止日不存在下列情形之一：</w:t>
      </w:r>
    </w:p>
    <w:p>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（1）被人民法院列入失信被执行人名单且在被执行期内；</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（2）被国家、重庆市（含市或任意区县）有关行政部门处以暂停投标资格行政处罚，且在处罚期限内。</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我公司在投标文件中提供的相关证明材料真实有效，不存在弄虚作假情形。招标人在合同签订前均有权对我司提供的资料进行核实，若发现弄虚作假，取消中标资格，投标保证金不予退还，我司自愿承担因此造成的相关责任并赔偿相应损失。</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3、我公司不存在第二章 投标人须知第1.4.3项规定的任何一种情形。</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4、我公司的投标文件符合第二章 投标人须知第1.3.1项的规定。</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5、我公司的投标文件符合第四章 合同条款及格式规定，投标文件中没有招标人不能接受的条件。</w:t>
      </w:r>
    </w:p>
    <w:p>
      <w:pPr>
        <w:widowControl/>
        <w:adjustRightInd w:val="0"/>
        <w:snapToGrid w:val="0"/>
        <w:spacing w:line="360" w:lineRule="auto"/>
        <w:ind w:firstLine="420"/>
        <w:jc w:val="left"/>
        <w:rPr>
          <w:rFonts w:ascii="宋体" w:hAnsi="宋体" w:cs="宋体"/>
          <w:kern w:val="0"/>
          <w:szCs w:val="21"/>
          <w:highlight w:val="none"/>
        </w:rPr>
      </w:pPr>
    </w:p>
    <w:p>
      <w:pPr>
        <w:adjustRightInd w:val="0"/>
        <w:snapToGrid w:val="0"/>
        <w:spacing w:line="360" w:lineRule="auto"/>
        <w:ind w:firstLine="420"/>
        <w:jc w:val="right"/>
        <w:rPr>
          <w:rFonts w:hint="eastAsia" w:ascii="宋体" w:hAnsi="宋体" w:cs="宋体"/>
          <w:szCs w:val="21"/>
          <w:highlight w:val="none"/>
        </w:rPr>
      </w:pPr>
    </w:p>
    <w:p>
      <w:pPr>
        <w:adjustRightInd w:val="0"/>
        <w:snapToGrid w:val="0"/>
        <w:spacing w:line="360" w:lineRule="auto"/>
        <w:ind w:firstLine="420"/>
        <w:jc w:val="center"/>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（盖单位公章）</w:t>
      </w:r>
    </w:p>
    <w:p>
      <w:pPr>
        <w:pStyle w:val="26"/>
        <w:spacing w:after="0" w:line="360" w:lineRule="auto"/>
        <w:ind w:left="1"/>
        <w:jc w:val="center"/>
        <w:rPr>
          <w:rFonts w:hint="eastAsia" w:ascii="宋体" w:hAnsi="宋体" w:eastAsia="宋体" w:cs="宋体"/>
          <w:b/>
          <w:bCs/>
          <w:sz w:val="28"/>
          <w:szCs w:val="28"/>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 w:val="28"/>
          <w:szCs w:val="28"/>
          <w:highlight w:val="none"/>
        </w:rPr>
        <w:br w:type="page"/>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rPr>
        <w:t>）其他要求</w:t>
      </w:r>
    </w:p>
    <w:p>
      <w:pPr>
        <w:pStyle w:val="26"/>
        <w:spacing w:after="0"/>
        <w:ind w:left="1"/>
        <w:jc w:val="center"/>
        <w:rPr>
          <w:rFonts w:hint="eastAsia" w:ascii="宋体" w:hAnsi="宋体" w:eastAsia="宋体" w:cs="宋体"/>
          <w:b/>
          <w:bCs/>
          <w:sz w:val="28"/>
          <w:szCs w:val="28"/>
          <w:highlight w:val="none"/>
        </w:rPr>
      </w:pPr>
      <w:r>
        <w:rPr>
          <w:rFonts w:hint="eastAsia" w:ascii="宋体" w:hAnsi="宋体" w:eastAsia="宋体" w:cs="宋体"/>
          <w:b/>
          <w:sz w:val="28"/>
          <w:highlight w:val="none"/>
        </w:rPr>
        <w:t>承诺</w:t>
      </w:r>
    </w:p>
    <w:p>
      <w:pPr>
        <w:snapToGrid w:val="0"/>
        <w:spacing w:line="400" w:lineRule="exact"/>
        <w:rPr>
          <w:rFonts w:hint="eastAsia" w:ascii="宋体" w:hAnsi="宋体" w:cs="宋体"/>
          <w:szCs w:val="21"/>
          <w:highlight w:val="none"/>
          <w:u w:val="single"/>
        </w:rPr>
      </w:pPr>
      <w:r>
        <w:rPr>
          <w:rFonts w:hint="eastAsia" w:ascii="宋体" w:hAnsi="宋体" w:cs="宋体"/>
          <w:szCs w:val="21"/>
          <w:highlight w:val="none"/>
          <w:u w:val="single"/>
        </w:rPr>
        <w:t xml:space="preserve">        （招标人名称）</w:t>
      </w:r>
      <w:r>
        <w:rPr>
          <w:rFonts w:hint="eastAsia" w:ascii="宋体" w:hAnsi="宋体" w:cs="宋体"/>
          <w:szCs w:val="21"/>
          <w:highlight w:val="none"/>
        </w:rPr>
        <w:t>：</w:t>
      </w:r>
    </w:p>
    <w:p>
      <w:pPr>
        <w:snapToGrid w:val="0"/>
        <w:spacing w:line="400" w:lineRule="exact"/>
        <w:ind w:firstLine="420" w:firstLineChars="200"/>
        <w:rPr>
          <w:szCs w:val="21"/>
          <w:highlight w:val="none"/>
        </w:rPr>
      </w:pPr>
      <w:r>
        <w:rPr>
          <w:rFonts w:hint="eastAsia"/>
          <w:szCs w:val="21"/>
          <w:highlight w:val="none"/>
        </w:rPr>
        <w:t>我公司</w:t>
      </w:r>
      <w:r>
        <w:rPr>
          <w:szCs w:val="21"/>
          <w:highlight w:val="none"/>
          <w:u w:val="single"/>
        </w:rPr>
        <w:t xml:space="preserve">        （投标人名称）</w:t>
      </w:r>
      <w:r>
        <w:rPr>
          <w:rFonts w:hint="eastAsia"/>
          <w:szCs w:val="21"/>
          <w:highlight w:val="none"/>
        </w:rPr>
        <w:t>参加了贵单位</w:t>
      </w:r>
      <w:r>
        <w:rPr>
          <w:szCs w:val="21"/>
          <w:highlight w:val="none"/>
          <w:u w:val="single"/>
        </w:rPr>
        <w:t xml:space="preserve">        （项目名称）</w:t>
      </w:r>
      <w:r>
        <w:rPr>
          <w:rFonts w:hint="eastAsia"/>
          <w:szCs w:val="21"/>
          <w:highlight w:val="none"/>
        </w:rPr>
        <w:t>的投标，自愿作出以下承诺：</w:t>
      </w:r>
    </w:p>
    <w:p>
      <w:pPr>
        <w:snapToGrid w:val="0"/>
        <w:spacing w:line="400" w:lineRule="exact"/>
        <w:ind w:firstLine="420" w:firstLineChars="200"/>
        <w:rPr>
          <w:szCs w:val="21"/>
          <w:highlight w:val="none"/>
        </w:rPr>
      </w:pPr>
      <w:r>
        <w:rPr>
          <w:rFonts w:hint="eastAsia"/>
          <w:szCs w:val="21"/>
          <w:highlight w:val="none"/>
        </w:rPr>
        <w:t>我公司</w:t>
      </w:r>
      <w:r>
        <w:rPr>
          <w:rFonts w:hint="eastAsia" w:ascii="宋体" w:hAnsi="宋体"/>
          <w:szCs w:val="21"/>
          <w:highlight w:val="none"/>
        </w:rPr>
        <w:t>拟派人员全部到岗尽责</w:t>
      </w:r>
      <w:r>
        <w:rPr>
          <w:rFonts w:hint="eastAsia"/>
          <w:szCs w:val="21"/>
          <w:highlight w:val="none"/>
        </w:rPr>
        <w:t>，</w:t>
      </w:r>
      <w:r>
        <w:rPr>
          <w:rFonts w:hint="eastAsia" w:ascii="宋体" w:hAnsi="宋体"/>
          <w:szCs w:val="21"/>
          <w:highlight w:val="none"/>
        </w:rPr>
        <w:t>未经招标人允许不得擅自更换，如果擅自更</w:t>
      </w:r>
      <w:r>
        <w:rPr>
          <w:rFonts w:hint="eastAsia" w:ascii="宋体" w:hAnsi="宋体"/>
          <w:szCs w:val="21"/>
          <w:highlight w:val="none"/>
          <w:lang w:eastAsia="zh-CN"/>
        </w:rPr>
        <w:t>换</w:t>
      </w:r>
      <w:r>
        <w:rPr>
          <w:rFonts w:hint="eastAsia" w:ascii="宋体" w:hAnsi="宋体"/>
          <w:szCs w:val="21"/>
          <w:highlight w:val="none"/>
        </w:rPr>
        <w:t>，招标人有权取消我</w:t>
      </w:r>
      <w:r>
        <w:rPr>
          <w:rFonts w:hint="eastAsia"/>
          <w:szCs w:val="21"/>
          <w:highlight w:val="none"/>
        </w:rPr>
        <w:t>公司</w:t>
      </w:r>
      <w:r>
        <w:rPr>
          <w:rFonts w:hint="eastAsia" w:ascii="宋体" w:hAnsi="宋体"/>
          <w:szCs w:val="21"/>
          <w:highlight w:val="none"/>
        </w:rPr>
        <w:t>中标人资格</w:t>
      </w:r>
      <w:r>
        <w:rPr>
          <w:rFonts w:hint="eastAsia"/>
          <w:szCs w:val="21"/>
          <w:highlight w:val="none"/>
        </w:rPr>
        <w:t>；</w:t>
      </w:r>
      <w:r>
        <w:rPr>
          <w:rFonts w:hint="eastAsia" w:ascii="宋体" w:hAnsi="宋体"/>
          <w:szCs w:val="21"/>
          <w:highlight w:val="none"/>
        </w:rPr>
        <w:t>在合同履行期间，如未经招标人允许，我</w:t>
      </w:r>
      <w:r>
        <w:rPr>
          <w:rFonts w:hint="eastAsia"/>
          <w:szCs w:val="21"/>
          <w:highlight w:val="none"/>
        </w:rPr>
        <w:t>公司</w:t>
      </w:r>
      <w:r>
        <w:rPr>
          <w:rFonts w:hint="eastAsia" w:ascii="宋体" w:hAnsi="宋体"/>
          <w:szCs w:val="21"/>
          <w:highlight w:val="none"/>
        </w:rPr>
        <w:t>擅自更换项目主要人员的，招标人有权终止合同并追究我</w:t>
      </w:r>
      <w:r>
        <w:rPr>
          <w:rFonts w:hint="eastAsia"/>
          <w:szCs w:val="21"/>
          <w:highlight w:val="none"/>
        </w:rPr>
        <w:t>公司</w:t>
      </w:r>
      <w:r>
        <w:rPr>
          <w:rFonts w:hint="eastAsia" w:ascii="宋体" w:hAnsi="宋体"/>
          <w:szCs w:val="21"/>
          <w:highlight w:val="none"/>
        </w:rPr>
        <w:t>责任。</w:t>
      </w:r>
    </w:p>
    <w:p>
      <w:pPr>
        <w:snapToGrid w:val="0"/>
        <w:spacing w:line="400" w:lineRule="exact"/>
        <w:ind w:firstLine="420" w:firstLineChars="200"/>
        <w:rPr>
          <w:szCs w:val="21"/>
          <w:highlight w:val="none"/>
        </w:rPr>
      </w:pPr>
    </w:p>
    <w:p>
      <w:pPr>
        <w:snapToGrid w:val="0"/>
        <w:spacing w:line="400" w:lineRule="exact"/>
        <w:ind w:firstLine="420" w:firstLineChars="200"/>
        <w:rPr>
          <w:szCs w:val="21"/>
          <w:highlight w:val="none"/>
        </w:rPr>
      </w:pPr>
    </w:p>
    <w:p>
      <w:pPr>
        <w:adjustRightInd w:val="0"/>
        <w:snapToGrid w:val="0"/>
        <w:spacing w:line="360" w:lineRule="auto"/>
        <w:ind w:firstLine="420"/>
        <w:jc w:val="center"/>
        <w:rPr>
          <w:rFonts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（盖单位公章）</w:t>
      </w:r>
    </w:p>
    <w:p>
      <w:pPr>
        <w:tabs>
          <w:tab w:val="left" w:pos="6300"/>
        </w:tabs>
        <w:autoSpaceDE w:val="0"/>
        <w:autoSpaceDN w:val="0"/>
        <w:adjustRightInd w:val="0"/>
        <w:snapToGrid w:val="0"/>
        <w:spacing w:line="360" w:lineRule="auto"/>
        <w:ind w:firstLine="420" w:firstLineChars="200"/>
        <w:jc w:val="left"/>
        <w:rPr>
          <w:kern w:val="0"/>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6"/>
        <w:spacing w:after="0" w:line="360" w:lineRule="auto"/>
        <w:ind w:left="1"/>
        <w:jc w:val="center"/>
        <w:rPr>
          <w:rFonts w:hint="eastAsia" w:ascii="宋体" w:hAnsi="宋体" w:eastAsia="宋体" w:cs="宋体"/>
          <w:b/>
          <w:bCs/>
          <w:sz w:val="28"/>
          <w:szCs w:val="28"/>
          <w:highlight w:val="none"/>
        </w:rPr>
      </w:pPr>
      <w:r>
        <w:rPr>
          <w:rFonts w:hint="eastAsia" w:ascii="宋体" w:hAnsi="宋体" w:cs="黑体"/>
          <w:b/>
          <w:bCs/>
          <w:sz w:val="28"/>
          <w:szCs w:val="28"/>
          <w:highlight w:val="none"/>
        </w:rPr>
        <w:br w:type="page"/>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rPr>
        <w:t>）其他资料</w:t>
      </w:r>
    </w:p>
    <w:p>
      <w:pPr>
        <w:adjustRightInd w:val="0"/>
        <w:snapToGrid w:val="0"/>
        <w:spacing w:line="360" w:lineRule="auto"/>
        <w:ind w:firstLine="420" w:firstLineChars="200"/>
        <w:jc w:val="both"/>
        <w:rPr>
          <w:rFonts w:ascii="宋体" w:hAnsi="宋体"/>
          <w:sz w:val="21"/>
          <w:szCs w:val="21"/>
        </w:rPr>
      </w:pPr>
      <w:r>
        <w:rPr>
          <w:rFonts w:hint="eastAsia" w:ascii="宋体" w:hAnsi="宋体"/>
          <w:sz w:val="21"/>
          <w:szCs w:val="21"/>
        </w:rPr>
        <w:t>1. 投标保证金</w:t>
      </w:r>
    </w:p>
    <w:p>
      <w:pPr>
        <w:adjustRightInd w:val="0"/>
        <w:snapToGrid w:val="0"/>
        <w:spacing w:line="360" w:lineRule="auto"/>
        <w:ind w:firstLine="420" w:firstLineChars="200"/>
        <w:jc w:val="both"/>
        <w:rPr>
          <w:rFonts w:ascii="宋体" w:hAnsi="宋体"/>
          <w:i/>
          <w:sz w:val="21"/>
          <w:szCs w:val="21"/>
        </w:rPr>
      </w:pPr>
      <w:r>
        <w:rPr>
          <w:rFonts w:hint="eastAsia" w:ascii="宋体" w:hAnsi="宋体"/>
          <w:i/>
          <w:sz w:val="21"/>
          <w:szCs w:val="21"/>
        </w:rPr>
        <w:t>[提示：以转账支票或电汇形式交纳投标保证金的提供以下资料]</w:t>
      </w:r>
    </w:p>
    <w:p>
      <w:pPr>
        <w:adjustRightInd w:val="0"/>
        <w:snapToGrid w:val="0"/>
        <w:spacing w:line="360" w:lineRule="auto"/>
        <w:ind w:firstLine="420" w:firstLineChars="200"/>
        <w:jc w:val="both"/>
        <w:rPr>
          <w:rFonts w:ascii="宋体" w:hAnsi="宋体"/>
          <w:sz w:val="21"/>
          <w:szCs w:val="21"/>
        </w:rPr>
      </w:pPr>
      <w:r>
        <w:rPr>
          <w:rFonts w:hint="eastAsia" w:ascii="宋体" w:hAnsi="宋体"/>
          <w:sz w:val="21"/>
          <w:szCs w:val="21"/>
        </w:rPr>
        <w:t>（1）企业基本账户开户证明文件。</w:t>
      </w:r>
    </w:p>
    <w:p>
      <w:pPr>
        <w:adjustRightInd w:val="0"/>
        <w:snapToGrid w:val="0"/>
        <w:spacing w:line="360" w:lineRule="auto"/>
        <w:ind w:firstLine="420" w:firstLineChars="200"/>
        <w:jc w:val="both"/>
        <w:rPr>
          <w:rFonts w:ascii="宋体" w:hAnsi="宋体"/>
          <w:i/>
          <w:sz w:val="21"/>
          <w:szCs w:val="21"/>
        </w:rPr>
      </w:pPr>
      <w:r>
        <w:rPr>
          <w:rFonts w:hint="eastAsia" w:ascii="宋体" w:hAnsi="宋体"/>
          <w:i/>
          <w:sz w:val="21"/>
          <w:szCs w:val="21"/>
        </w:rPr>
        <w:t>[提示：以纸质投标保函形式交纳投标保证金的提供以下资料]</w:t>
      </w:r>
    </w:p>
    <w:p>
      <w:pPr>
        <w:adjustRightInd w:val="0"/>
        <w:snapToGrid w:val="0"/>
        <w:spacing w:line="360" w:lineRule="auto"/>
        <w:ind w:firstLine="420" w:firstLineChars="200"/>
        <w:jc w:val="both"/>
        <w:rPr>
          <w:rFonts w:ascii="宋体" w:hAnsi="宋体"/>
          <w:sz w:val="21"/>
          <w:szCs w:val="21"/>
        </w:rPr>
      </w:pPr>
      <w:r>
        <w:rPr>
          <w:rFonts w:hint="eastAsia" w:ascii="宋体" w:hAnsi="宋体"/>
          <w:sz w:val="21"/>
          <w:szCs w:val="21"/>
        </w:rPr>
        <w:t>（1）纸质保函；</w:t>
      </w:r>
    </w:p>
    <w:p>
      <w:pPr>
        <w:adjustRightInd w:val="0"/>
        <w:snapToGrid w:val="0"/>
        <w:spacing w:line="360" w:lineRule="auto"/>
        <w:ind w:firstLine="420" w:firstLineChars="200"/>
        <w:jc w:val="both"/>
        <w:rPr>
          <w:rFonts w:ascii="宋体" w:hAnsi="宋体"/>
          <w:sz w:val="21"/>
          <w:szCs w:val="21"/>
        </w:rPr>
      </w:pPr>
      <w:r>
        <w:rPr>
          <w:rFonts w:hint="eastAsia" w:ascii="宋体" w:hAnsi="宋体"/>
          <w:sz w:val="21"/>
          <w:szCs w:val="21"/>
        </w:rPr>
        <w:t>（2）纸质投标保函的核验地点、方式和联系人。</w:t>
      </w:r>
    </w:p>
    <w:p>
      <w:pPr>
        <w:adjustRightInd w:val="0"/>
        <w:snapToGrid w:val="0"/>
        <w:spacing w:line="360" w:lineRule="auto"/>
        <w:ind w:firstLine="420" w:firstLineChars="200"/>
        <w:jc w:val="both"/>
        <w:rPr>
          <w:rFonts w:ascii="宋体" w:hAnsi="宋体"/>
          <w:sz w:val="21"/>
        </w:rPr>
      </w:pPr>
      <w:r>
        <w:rPr>
          <w:rFonts w:hint="eastAsia" w:ascii="宋体" w:hAnsi="宋体"/>
          <w:sz w:val="21"/>
          <w:szCs w:val="21"/>
        </w:rPr>
        <w:t xml:space="preserve">2. </w:t>
      </w:r>
      <w:r>
        <w:rPr>
          <w:rFonts w:hint="eastAsia" w:ascii="宋体" w:hAnsi="宋体"/>
          <w:sz w:val="21"/>
        </w:rPr>
        <w:t>投标人须知前附表和评标办法规定的其他资料。</w:t>
      </w:r>
    </w:p>
    <w:p>
      <w:pPr>
        <w:pStyle w:val="2"/>
        <w:adjustRightInd w:val="0"/>
        <w:snapToGrid w:val="0"/>
        <w:spacing w:line="360" w:lineRule="auto"/>
        <w:ind w:firstLine="420" w:firstLineChars="200"/>
        <w:rPr>
          <w:rFonts w:ascii="宋体" w:hAnsi="宋体"/>
          <w:kern w:val="0"/>
          <w:sz w:val="21"/>
        </w:rPr>
      </w:pPr>
      <w:r>
        <w:rPr>
          <w:rFonts w:hint="eastAsia" w:ascii="宋体" w:hAnsi="宋体"/>
          <w:kern w:val="0"/>
          <w:sz w:val="21"/>
        </w:rPr>
        <w:t>3</w:t>
      </w:r>
      <w:r>
        <w:rPr>
          <w:rFonts w:ascii="宋体" w:hAnsi="宋体"/>
          <w:kern w:val="0"/>
          <w:sz w:val="21"/>
        </w:rPr>
        <w:t>.</w:t>
      </w:r>
    </w:p>
    <w:p>
      <w:pPr>
        <w:spacing w:line="360" w:lineRule="auto"/>
        <w:ind w:firstLine="420" w:firstLineChars="200"/>
        <w:rPr>
          <w:rFonts w:hint="eastAsia" w:ascii="宋体" w:hAnsi="宋体"/>
          <w:szCs w:val="21"/>
          <w:highlight w:val="none"/>
        </w:rPr>
      </w:pPr>
      <w:r>
        <w:rPr>
          <w:rFonts w:ascii="宋体" w:hAnsi="宋体"/>
          <w:sz w:val="21"/>
          <w:szCs w:val="21"/>
        </w:rPr>
        <w:t>……</w:t>
      </w:r>
    </w:p>
    <w:p>
      <w:pPr>
        <w:autoSpaceDE w:val="0"/>
        <w:autoSpaceDN w:val="0"/>
        <w:adjustRightInd w:val="0"/>
        <w:spacing w:before="120" w:after="120"/>
        <w:ind w:left="105" w:right="105" w:firstLine="560"/>
        <w:jc w:val="center"/>
        <w:rPr>
          <w:rFonts w:hint="eastAsia" w:ascii="宋体" w:hAnsi="宋体" w:cs="宋体"/>
          <w:kern w:val="0"/>
          <w:sz w:val="28"/>
          <w:szCs w:val="28"/>
          <w:highlight w:val="none"/>
        </w:rPr>
      </w:pPr>
    </w:p>
    <w:p>
      <w:pPr>
        <w:autoSpaceDE w:val="0"/>
        <w:autoSpaceDN w:val="0"/>
        <w:adjustRightInd w:val="0"/>
        <w:spacing w:before="120" w:after="120"/>
        <w:ind w:left="105" w:right="105" w:firstLine="420"/>
        <w:jc w:val="left"/>
        <w:rPr>
          <w:rFonts w:ascii="宋体" w:hAnsi="宋体" w:cs="宋体"/>
          <w:kern w:val="0"/>
          <w:szCs w:val="21"/>
          <w:highlight w:val="none"/>
        </w:rPr>
      </w:pPr>
    </w:p>
    <w:p>
      <w:pPr>
        <w:pStyle w:val="26"/>
        <w:snapToGrid/>
        <w:spacing w:after="0" w:line="360" w:lineRule="auto"/>
        <w:ind w:firstLine="0" w:firstLineChars="0"/>
        <w:jc w:val="center"/>
        <w:outlineLvl w:val="1"/>
        <w:rPr>
          <w:rFonts w:hint="eastAsia" w:hAnsi="宋体" w:cs="黑体"/>
          <w:b/>
          <w:bCs/>
          <w:sz w:val="21"/>
          <w:szCs w:val="21"/>
          <w:highlight w:val="none"/>
        </w:rPr>
      </w:pPr>
      <w:r>
        <w:rPr>
          <w:rFonts w:hint="eastAsia" w:ascii="宋体" w:hAnsi="宋体" w:cs="宋体"/>
          <w:spacing w:val="2"/>
          <w:w w:val="99"/>
          <w:position w:val="-1"/>
          <w:sz w:val="32"/>
          <w:szCs w:val="32"/>
          <w:highlight w:val="none"/>
        </w:rPr>
        <w:br w:type="page"/>
      </w:r>
      <w:bookmarkStart w:id="183" w:name="_Toc25457"/>
      <w:bookmarkStart w:id="184" w:name="_Toc29659"/>
      <w:bookmarkStart w:id="185" w:name="_Toc25705"/>
      <w:bookmarkStart w:id="186" w:name="_Toc14023"/>
      <w:r>
        <w:rPr>
          <w:rFonts w:hint="eastAsia" w:hAnsi="宋体" w:cs="黑体"/>
          <w:b/>
          <w:bCs/>
          <w:sz w:val="28"/>
          <w:szCs w:val="28"/>
          <w:highlight w:val="none"/>
        </w:rPr>
        <w:t>三、商务部分</w:t>
      </w:r>
      <w:bookmarkEnd w:id="183"/>
      <w:bookmarkEnd w:id="184"/>
      <w:bookmarkEnd w:id="185"/>
      <w:bookmarkEnd w:id="186"/>
    </w:p>
    <w:p>
      <w:pPr>
        <w:autoSpaceDE w:val="0"/>
        <w:autoSpaceDN w:val="0"/>
        <w:adjustRightInd w:val="0"/>
        <w:snapToGrid w:val="0"/>
        <w:spacing w:line="360" w:lineRule="auto"/>
        <w:ind w:firstLine="420" w:firstLineChars="200"/>
        <w:jc w:val="left"/>
        <w:rPr>
          <w:rFonts w:ascii="宋体" w:hAnsi="宋体" w:cs="宋体"/>
          <w:kern w:val="0"/>
          <w:szCs w:val="21"/>
          <w:highlight w:val="none"/>
        </w:rPr>
      </w:pPr>
      <w:bookmarkStart w:id="187" w:name="_Toc11518"/>
      <w:bookmarkStart w:id="188" w:name="_Toc513063955"/>
      <w:bookmarkStart w:id="189" w:name="_Toc513063945"/>
      <w:bookmarkStart w:id="190" w:name="_Toc64"/>
    </w:p>
    <w:p>
      <w:pPr>
        <w:pStyle w:val="26"/>
        <w:snapToGrid w:val="0"/>
        <w:spacing w:after="0" w:line="360" w:lineRule="auto"/>
        <w:ind w:firstLine="420" w:firstLineChars="200"/>
        <w:rPr>
          <w:rFonts w:hint="eastAsia" w:ascii="宋体" w:hAnsi="宋体" w:eastAsia="宋体" w:cs="宋体"/>
          <w:snapToGrid w:val="0"/>
          <w:sz w:val="21"/>
          <w:szCs w:val="21"/>
          <w:highlight w:val="none"/>
        </w:rPr>
      </w:pPr>
    </w:p>
    <w:p>
      <w:pPr>
        <w:pStyle w:val="26"/>
        <w:snapToGrid w:val="0"/>
        <w:spacing w:after="0" w:line="360" w:lineRule="auto"/>
        <w:ind w:firstLine="420" w:firstLineChars="20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br w:type="page"/>
      </w:r>
    </w:p>
    <w:p>
      <w:pPr>
        <w:pStyle w:val="26"/>
        <w:spacing w:after="0" w:line="360" w:lineRule="auto"/>
        <w:ind w:left="1"/>
        <w:jc w:val="center"/>
        <w:rPr>
          <w:rFonts w:hint="eastAsia" w:ascii="宋体" w:hAnsi="宋体" w:eastAsia="宋体" w:cs="宋体"/>
          <w:b/>
          <w:bCs/>
          <w:sz w:val="28"/>
          <w:szCs w:val="28"/>
          <w:highlight w:val="none"/>
          <w:lang w:eastAsia="zh-CN"/>
        </w:rPr>
      </w:pPr>
    </w:p>
    <w:p>
      <w:pPr>
        <w:pStyle w:val="26"/>
        <w:spacing w:after="0" w:line="360" w:lineRule="auto"/>
        <w:ind w:left="1"/>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企业实力</w:t>
      </w:r>
      <w:r>
        <w:rPr>
          <w:rFonts w:hint="eastAsia" w:ascii="宋体" w:hAnsi="宋体" w:eastAsia="宋体" w:cs="宋体"/>
          <w:b/>
          <w:bCs/>
          <w:sz w:val="28"/>
          <w:szCs w:val="28"/>
          <w:highlight w:val="none"/>
          <w:lang w:eastAsia="zh-CN"/>
        </w:rPr>
        <w:br w:type="textWrapping"/>
      </w:r>
    </w:p>
    <w:p>
      <w:pPr>
        <w:pStyle w:val="26"/>
        <w:spacing w:after="0" w:line="360" w:lineRule="auto"/>
        <w:ind w:left="1"/>
        <w:jc w:val="center"/>
        <w:rPr>
          <w:rFonts w:hint="eastAsia" w:ascii="宋体" w:hAnsi="宋体" w:eastAsia="宋体" w:cs="宋体"/>
          <w:b/>
          <w:bCs/>
          <w:sz w:val="28"/>
          <w:szCs w:val="28"/>
          <w:highlight w:val="none"/>
          <w:lang w:eastAsia="zh-CN"/>
        </w:rPr>
      </w:pPr>
      <w:r>
        <w:rPr>
          <w:rFonts w:hint="eastAsia" w:ascii="宋体" w:hAnsi="宋体" w:eastAsia="宋体" w:cs="宋体"/>
          <w:snapToGrid w:val="0"/>
          <w:sz w:val="21"/>
          <w:szCs w:val="21"/>
          <w:highlight w:val="none"/>
        </w:rPr>
        <w:t>按第三章评标办法前附表商务部分要求提供证明材料。</w:t>
      </w:r>
      <w:r>
        <w:rPr>
          <w:rFonts w:hint="eastAsia" w:ascii="宋体" w:hAnsi="宋体" w:eastAsia="宋体" w:cs="宋体"/>
          <w:b/>
          <w:bCs/>
          <w:sz w:val="28"/>
          <w:szCs w:val="28"/>
          <w:highlight w:val="none"/>
          <w:lang w:eastAsia="zh-CN"/>
        </w:rPr>
        <w:br w:type="page"/>
      </w:r>
    </w:p>
    <w:p>
      <w:pPr>
        <w:pStyle w:val="26"/>
        <w:spacing w:after="0" w:line="360" w:lineRule="auto"/>
        <w:ind w:left="1"/>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业绩要求</w:t>
      </w:r>
    </w:p>
    <w:p>
      <w:pPr>
        <w:pStyle w:val="17"/>
        <w:rPr>
          <w:rFonts w:hint="eastAsia"/>
          <w:highlight w:val="none"/>
        </w:rPr>
      </w:pPr>
    </w:p>
    <w:tbl>
      <w:tblPr>
        <w:tblStyle w:val="15"/>
        <w:tblW w:w="9719" w:type="dxa"/>
        <w:tblInd w:w="0" w:type="dxa"/>
        <w:tblLayout w:type="fixed"/>
        <w:tblCellMar>
          <w:top w:w="0" w:type="dxa"/>
          <w:left w:w="0" w:type="dxa"/>
          <w:bottom w:w="0" w:type="dxa"/>
          <w:right w:w="0" w:type="dxa"/>
        </w:tblCellMar>
      </w:tblPr>
      <w:tblGrid>
        <w:gridCol w:w="1145"/>
        <w:gridCol w:w="1480"/>
        <w:gridCol w:w="1479"/>
        <w:gridCol w:w="2354"/>
        <w:gridCol w:w="2116"/>
        <w:gridCol w:w="1145"/>
      </w:tblGrid>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szCs w:val="24"/>
                <w:highlight w:val="none"/>
              </w:rPr>
            </w:pPr>
            <w:r>
              <w:rPr>
                <w:rFonts w:hint="eastAsia" w:ascii="黑体" w:hAnsi="宋体" w:eastAsia="黑体" w:cs="黑体"/>
                <w:color w:val="000000"/>
                <w:kern w:val="0"/>
                <w:sz w:val="24"/>
                <w:szCs w:val="24"/>
                <w:highlight w:val="none"/>
                <w:lang w:bidi="ar"/>
              </w:rPr>
              <w:t>序号</w:t>
            </w: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4"/>
                <w:szCs w:val="24"/>
                <w:highlight w:val="none"/>
              </w:rPr>
            </w:pPr>
            <w:r>
              <w:rPr>
                <w:rFonts w:hint="eastAsia" w:ascii="黑体" w:hAnsi="宋体" w:eastAsia="黑体" w:cs="黑体"/>
                <w:color w:val="000000"/>
                <w:kern w:val="0"/>
                <w:sz w:val="24"/>
                <w:szCs w:val="24"/>
                <w:highlight w:val="none"/>
                <w:lang w:bidi="ar"/>
              </w:rPr>
              <w:t>项目名称</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4"/>
                <w:szCs w:val="24"/>
                <w:highlight w:val="none"/>
              </w:rPr>
            </w:pPr>
            <w:r>
              <w:rPr>
                <w:rFonts w:hint="eastAsia" w:ascii="黑体" w:hAnsi="宋体" w:eastAsia="黑体" w:cs="黑体"/>
                <w:color w:val="000000"/>
                <w:kern w:val="0"/>
                <w:sz w:val="24"/>
                <w:szCs w:val="24"/>
                <w:highlight w:val="none"/>
                <w:lang w:bidi="ar"/>
              </w:rPr>
              <w:t>项目类别</w:t>
            </w: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4"/>
                <w:szCs w:val="24"/>
                <w:highlight w:val="none"/>
              </w:rPr>
            </w:pPr>
            <w:r>
              <w:rPr>
                <w:rFonts w:hint="eastAsia" w:ascii="黑体" w:hAnsi="宋体" w:eastAsia="黑体" w:cs="黑体"/>
                <w:color w:val="000000"/>
                <w:kern w:val="0"/>
                <w:sz w:val="24"/>
                <w:szCs w:val="24"/>
                <w:highlight w:val="none"/>
                <w:lang w:bidi="ar"/>
              </w:rPr>
              <w:t>合同签订时间</w:t>
            </w: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4"/>
                <w:szCs w:val="24"/>
                <w:highlight w:val="none"/>
              </w:rPr>
            </w:pPr>
            <w:r>
              <w:rPr>
                <w:rFonts w:hint="eastAsia" w:ascii="黑体" w:hAnsi="宋体" w:eastAsia="黑体" w:cs="黑体"/>
                <w:color w:val="000000"/>
                <w:kern w:val="0"/>
                <w:sz w:val="24"/>
                <w:szCs w:val="24"/>
                <w:highlight w:val="none"/>
                <w:lang w:eastAsia="zh-CN" w:bidi="ar"/>
              </w:rPr>
              <w:t>涉及河流数量</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4"/>
                <w:szCs w:val="24"/>
                <w:highlight w:val="none"/>
              </w:rPr>
            </w:pPr>
            <w:r>
              <w:rPr>
                <w:rFonts w:hint="eastAsia" w:ascii="黑体" w:hAnsi="宋体" w:eastAsia="黑体" w:cs="黑体"/>
                <w:color w:val="000000"/>
                <w:kern w:val="0"/>
                <w:sz w:val="24"/>
                <w:szCs w:val="24"/>
                <w:highlight w:val="none"/>
                <w:lang w:bidi="ar"/>
              </w:rPr>
              <w:t>备注</w:t>
            </w: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r>
        <w:tblPrEx>
          <w:tblLayout w:type="fixed"/>
          <w:tblCellMar>
            <w:top w:w="0" w:type="dxa"/>
            <w:left w:w="0" w:type="dxa"/>
            <w:bottom w:w="0" w:type="dxa"/>
            <w:right w:w="0" w:type="dxa"/>
          </w:tblCellMar>
        </w:tblPrEx>
        <w:trPr>
          <w:trHeight w:val="270" w:hRule="atLeast"/>
        </w:trPr>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2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szCs w:val="24"/>
                <w:highlight w:val="none"/>
              </w:rPr>
            </w:pPr>
          </w:p>
        </w:tc>
      </w:tr>
    </w:tbl>
    <w:p>
      <w:pPr>
        <w:autoSpaceDE w:val="0"/>
        <w:autoSpaceDN w:val="0"/>
        <w:adjustRightInd w:val="0"/>
        <w:spacing w:before="120" w:after="120"/>
        <w:ind w:left="105" w:right="105" w:firstLine="220"/>
        <w:jc w:val="left"/>
        <w:rPr>
          <w:rFonts w:ascii="宋体" w:hAnsi="宋体" w:cs="宋体"/>
          <w:kern w:val="0"/>
          <w:sz w:val="11"/>
          <w:szCs w:val="11"/>
          <w:highlight w:val="none"/>
        </w:rPr>
      </w:pPr>
    </w:p>
    <w:p>
      <w:pPr>
        <w:autoSpaceDE w:val="0"/>
        <w:autoSpaceDN w:val="0"/>
        <w:adjustRightInd w:val="0"/>
        <w:spacing w:line="360" w:lineRule="auto"/>
        <w:ind w:left="108" w:right="108" w:firstLine="420"/>
        <w:jc w:val="left"/>
        <w:rPr>
          <w:rFonts w:hint="eastAsia" w:ascii="宋体" w:hAnsi="宋体" w:cs="宋体"/>
          <w:szCs w:val="21"/>
          <w:highlight w:val="none"/>
        </w:rPr>
      </w:pPr>
      <w:r>
        <w:rPr>
          <w:rFonts w:hint="eastAsia" w:ascii="宋体" w:hAnsi="宋体" w:cs="宋体"/>
          <w:color w:val="000000"/>
          <w:szCs w:val="21"/>
          <w:highlight w:val="none"/>
        </w:rPr>
        <w:t>注：1.“项目类别”包含：</w:t>
      </w:r>
      <w:r>
        <w:rPr>
          <w:rFonts w:hint="eastAsia" w:ascii="宋体" w:hAnsi="宋体" w:cs="宋体"/>
          <w:color w:val="000000"/>
          <w:szCs w:val="21"/>
          <w:highlight w:val="none"/>
          <w:lang w:eastAsia="zh-CN"/>
        </w:rPr>
        <w:t>防洪专项研究、</w:t>
      </w:r>
      <w:r>
        <w:rPr>
          <w:rFonts w:hint="eastAsia" w:ascii="宋体" w:hAnsi="宋体" w:cs="宋体"/>
          <w:szCs w:val="21"/>
          <w:highlight w:val="none"/>
        </w:rPr>
        <w:t>水系规划、</w:t>
      </w:r>
      <w:r>
        <w:rPr>
          <w:rFonts w:hint="eastAsia" w:ascii="宋体" w:hAnsi="宋体" w:cs="宋体"/>
          <w:bCs/>
          <w:szCs w:val="21"/>
          <w:highlight w:val="none"/>
        </w:rPr>
        <w:t>洪水影响评价区域论证</w:t>
      </w:r>
      <w:r>
        <w:rPr>
          <w:rFonts w:hint="eastAsia" w:ascii="宋体" w:hAnsi="宋体" w:cs="宋体"/>
          <w:szCs w:val="21"/>
          <w:highlight w:val="none"/>
        </w:rPr>
        <w:t>。</w:t>
      </w:r>
    </w:p>
    <w:p>
      <w:pPr>
        <w:pStyle w:val="17"/>
        <w:ind w:firstLine="840" w:firstLineChars="400"/>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2.</w:t>
      </w:r>
      <w:r>
        <w:rPr>
          <w:rFonts w:hint="eastAsia" w:hAnsi="宋体" w:eastAsia="宋体" w:cs="宋体"/>
          <w:snapToGrid w:val="0"/>
          <w:sz w:val="21"/>
          <w:szCs w:val="21"/>
          <w:highlight w:val="none"/>
        </w:rPr>
        <w:t>按第三章评标办法前附表商务部分要求提供证明材料。</w:t>
      </w:r>
    </w:p>
    <w:p>
      <w:pPr>
        <w:pStyle w:val="17"/>
        <w:ind w:firstLine="840" w:firstLineChars="4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br w:type="page"/>
      </w:r>
    </w:p>
    <w:p>
      <w:pPr>
        <w:pStyle w:val="17"/>
        <w:spacing w:line="360" w:lineRule="auto"/>
        <w:ind w:firstLine="0" w:firstLineChars="0"/>
        <w:jc w:val="center"/>
        <w:rPr>
          <w:rFonts w:hint="eastAsia" w:ascii="宋体" w:hAnsi="宋体" w:eastAsia="宋体" w:cs="宋体"/>
          <w:snapToGrid w:val="0"/>
          <w:kern w:val="0"/>
          <w:szCs w:val="21"/>
          <w:highlight w:val="none"/>
        </w:rPr>
      </w:pPr>
      <w:r>
        <w:rPr>
          <w:rFonts w:hint="eastAsia" w:ascii="宋体" w:hAnsi="宋体" w:eastAsia="宋体" w:cs="宋体"/>
          <w:b/>
          <w:bCs/>
          <w:sz w:val="28"/>
          <w:szCs w:val="28"/>
          <w:highlight w:val="none"/>
          <w:lang w:eastAsia="zh-CN"/>
        </w:rPr>
        <w:t>（</w:t>
      </w:r>
      <w:r>
        <w:rPr>
          <w:rFonts w:hint="eastAsia" w:hAnsi="宋体" w:eastAsia="宋体" w:cs="宋体"/>
          <w:b/>
          <w:bCs/>
          <w:sz w:val="28"/>
          <w:szCs w:val="28"/>
          <w:highlight w:val="none"/>
          <w:lang w:val="en-US" w:eastAsia="zh-CN"/>
        </w:rPr>
        <w:t>三</w:t>
      </w:r>
      <w:r>
        <w:rPr>
          <w:rFonts w:hint="eastAsia" w:ascii="宋体" w:hAnsi="宋体" w:eastAsia="宋体" w:cs="宋体"/>
          <w:b/>
          <w:bCs/>
          <w:sz w:val="28"/>
          <w:szCs w:val="28"/>
          <w:highlight w:val="none"/>
          <w:lang w:eastAsia="zh-CN"/>
        </w:rPr>
        <w:t>）</w:t>
      </w:r>
      <w:r>
        <w:rPr>
          <w:rFonts w:hint="eastAsia" w:hAnsi="宋体" w:eastAsia="宋体" w:cs="宋体"/>
          <w:b/>
          <w:bCs/>
          <w:sz w:val="28"/>
          <w:szCs w:val="28"/>
          <w:highlight w:val="none"/>
        </w:rPr>
        <w:t>项目人力资源配置</w:t>
      </w:r>
    </w:p>
    <w:p>
      <w:pPr>
        <w:pStyle w:val="26"/>
        <w:snapToGrid w:val="0"/>
        <w:spacing w:after="0" w:line="360" w:lineRule="auto"/>
        <w:ind w:firstLine="420" w:firstLineChars="200"/>
        <w:rPr>
          <w:rFonts w:hAnsi="宋体" w:cs="黑体"/>
          <w:b/>
          <w:bCs/>
          <w:sz w:val="21"/>
          <w:szCs w:val="21"/>
          <w:highlight w:val="none"/>
        </w:rPr>
      </w:pPr>
    </w:p>
    <w:p>
      <w:pPr>
        <w:pStyle w:val="26"/>
        <w:spacing w:after="0"/>
        <w:ind w:left="1"/>
        <w:jc w:val="center"/>
        <w:rPr>
          <w:rFonts w:hAnsi="宋体" w:cs="黑体"/>
          <w:b/>
          <w:bCs/>
          <w:sz w:val="28"/>
          <w:szCs w:val="28"/>
          <w:highlight w:val="none"/>
        </w:rPr>
      </w:pPr>
      <w:r>
        <w:rPr>
          <w:rFonts w:hint="eastAsia" w:ascii="宋体" w:hAnsi="宋体" w:eastAsia="宋体" w:cs="宋体"/>
          <w:snapToGrid w:val="0"/>
          <w:sz w:val="21"/>
          <w:szCs w:val="21"/>
          <w:highlight w:val="none"/>
        </w:rPr>
        <w:t>按第三章评标办法前附表商务部分要求提供证明材料。</w:t>
      </w:r>
      <w:r>
        <w:rPr>
          <w:rFonts w:hAnsi="宋体" w:cs="黑体"/>
          <w:b/>
          <w:bCs/>
          <w:sz w:val="28"/>
          <w:szCs w:val="28"/>
          <w:highlight w:val="none"/>
        </w:rPr>
        <w:br w:type="page"/>
      </w:r>
    </w:p>
    <w:bookmarkEnd w:id="187"/>
    <w:bookmarkEnd w:id="188"/>
    <w:bookmarkEnd w:id="189"/>
    <w:bookmarkEnd w:id="190"/>
    <w:p>
      <w:pPr>
        <w:pStyle w:val="26"/>
        <w:spacing w:after="0"/>
        <w:jc w:val="center"/>
        <w:outlineLvl w:val="1"/>
        <w:rPr>
          <w:rFonts w:hAnsi="宋体" w:cs="黑体"/>
          <w:b/>
          <w:bCs/>
          <w:sz w:val="28"/>
          <w:szCs w:val="28"/>
          <w:highlight w:val="none"/>
        </w:rPr>
      </w:pPr>
      <w:bookmarkStart w:id="191" w:name="_Toc13616"/>
      <w:bookmarkStart w:id="192" w:name="_Toc30366"/>
      <w:bookmarkStart w:id="193" w:name="_Toc29395"/>
      <w:bookmarkStart w:id="194" w:name="_Toc23567"/>
      <w:r>
        <w:rPr>
          <w:rFonts w:hint="eastAsia" w:ascii="宋体" w:hAnsi="宋体" w:eastAsia="宋体" w:cs="宋体"/>
          <w:b/>
          <w:bCs/>
          <w:sz w:val="28"/>
          <w:szCs w:val="28"/>
          <w:highlight w:val="none"/>
        </w:rPr>
        <w:t>四、技术部分</w:t>
      </w:r>
      <w:bookmarkEnd w:id="191"/>
      <w:bookmarkEnd w:id="192"/>
      <w:bookmarkEnd w:id="193"/>
      <w:bookmarkEnd w:id="194"/>
    </w:p>
    <w:p>
      <w:pPr>
        <w:spacing w:before="120" w:beforeLines="50" w:after="120" w:afterLines="50" w:line="360" w:lineRule="exact"/>
        <w:ind w:firstLine="420" w:firstLineChars="200"/>
        <w:rPr>
          <w:highlight w:val="none"/>
        </w:rPr>
      </w:pPr>
    </w:p>
    <w:p>
      <w:pPr>
        <w:widowControl/>
        <w:adjustRightInd w:val="0"/>
        <w:snapToGrid w:val="0"/>
        <w:spacing w:line="360" w:lineRule="auto"/>
        <w:ind w:firstLine="420" w:firstLineChars="200"/>
        <w:jc w:val="left"/>
        <w:rPr>
          <w:snapToGrid w:val="0"/>
          <w:szCs w:val="21"/>
          <w:highlight w:val="none"/>
        </w:rPr>
      </w:pPr>
      <w:r>
        <w:rPr>
          <w:rFonts w:hint="eastAsia" w:ascii="宋体" w:hAnsi="宋体" w:cs="宋体"/>
          <w:szCs w:val="21"/>
          <w:highlight w:val="none"/>
        </w:rPr>
        <w:t>注：投标人应根据招标人提供的招标文件和国家及行业规范要求，结合本项目的实际情况，编制投标技术部分文件。</w:t>
      </w:r>
    </w:p>
    <w:p>
      <w:pPr>
        <w:rPr>
          <w:highlight w:val="none"/>
        </w:rPr>
      </w:pPr>
    </w:p>
    <w:p/>
    <w:sectPr>
      <w:headerReference r:id="rId4" w:type="default"/>
      <w:footerReference r:id="rId5" w:type="default"/>
      <w:pgSz w:w="11850" w:h="16783"/>
      <w:pgMar w:top="1134" w:right="1134" w:bottom="1134" w:left="1417" w:header="850" w:footer="99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57141"/>
    <w:multiLevelType w:val="singleLevel"/>
    <w:tmpl w:val="7CC5714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zZiYWY0ZDhiMjk2ZDQ3YjRiYWNkYTI4Yjk3YzYifQ=="/>
  </w:docVars>
  <w:rsids>
    <w:rsidRoot w:val="20540026"/>
    <w:rsid w:val="00A97C74"/>
    <w:rsid w:val="03A818FF"/>
    <w:rsid w:val="04BB237E"/>
    <w:rsid w:val="06AE6290"/>
    <w:rsid w:val="071F53DE"/>
    <w:rsid w:val="08634365"/>
    <w:rsid w:val="08B62238"/>
    <w:rsid w:val="0B88145B"/>
    <w:rsid w:val="0E1D259E"/>
    <w:rsid w:val="0E945175"/>
    <w:rsid w:val="0EBC14A7"/>
    <w:rsid w:val="120117F5"/>
    <w:rsid w:val="130661E5"/>
    <w:rsid w:val="13E4389B"/>
    <w:rsid w:val="16CD2FE4"/>
    <w:rsid w:val="18491B43"/>
    <w:rsid w:val="19DF095A"/>
    <w:rsid w:val="1BC91066"/>
    <w:rsid w:val="1C28526D"/>
    <w:rsid w:val="1D4B3C5A"/>
    <w:rsid w:val="20540026"/>
    <w:rsid w:val="20950F81"/>
    <w:rsid w:val="20FF40AB"/>
    <w:rsid w:val="235848B7"/>
    <w:rsid w:val="23595F0C"/>
    <w:rsid w:val="250F0D85"/>
    <w:rsid w:val="274B1EE3"/>
    <w:rsid w:val="294F0054"/>
    <w:rsid w:val="2C740647"/>
    <w:rsid w:val="2FB811A0"/>
    <w:rsid w:val="30F02FA0"/>
    <w:rsid w:val="32CA2C20"/>
    <w:rsid w:val="33CA5DA5"/>
    <w:rsid w:val="3622751F"/>
    <w:rsid w:val="367A5FD7"/>
    <w:rsid w:val="36D0176F"/>
    <w:rsid w:val="38624C84"/>
    <w:rsid w:val="3CAB598E"/>
    <w:rsid w:val="3DF74434"/>
    <w:rsid w:val="3DFC36B8"/>
    <w:rsid w:val="3FDD01A7"/>
    <w:rsid w:val="42CA32EC"/>
    <w:rsid w:val="4314690D"/>
    <w:rsid w:val="43E9521C"/>
    <w:rsid w:val="4500160B"/>
    <w:rsid w:val="45AB3E8F"/>
    <w:rsid w:val="45F96EC4"/>
    <w:rsid w:val="48391D11"/>
    <w:rsid w:val="48A713B8"/>
    <w:rsid w:val="48C24D15"/>
    <w:rsid w:val="499853C5"/>
    <w:rsid w:val="4C9D4A6C"/>
    <w:rsid w:val="4D01310D"/>
    <w:rsid w:val="4D260155"/>
    <w:rsid w:val="4F415C0D"/>
    <w:rsid w:val="51527126"/>
    <w:rsid w:val="53205F83"/>
    <w:rsid w:val="53B17D6C"/>
    <w:rsid w:val="54975D60"/>
    <w:rsid w:val="555E30D6"/>
    <w:rsid w:val="5C3C3826"/>
    <w:rsid w:val="5CD076E3"/>
    <w:rsid w:val="5E9E295E"/>
    <w:rsid w:val="622E0201"/>
    <w:rsid w:val="63526D25"/>
    <w:rsid w:val="63963A6D"/>
    <w:rsid w:val="66BD79EC"/>
    <w:rsid w:val="694B09EC"/>
    <w:rsid w:val="69944C1C"/>
    <w:rsid w:val="6A02478D"/>
    <w:rsid w:val="6A2551CA"/>
    <w:rsid w:val="6B7A4690"/>
    <w:rsid w:val="6C7C1E01"/>
    <w:rsid w:val="6D5917F4"/>
    <w:rsid w:val="6D807FB2"/>
    <w:rsid w:val="6E692DC9"/>
    <w:rsid w:val="772950ED"/>
    <w:rsid w:val="7A0B5EB2"/>
    <w:rsid w:val="7C920BCF"/>
    <w:rsid w:val="7D1B40A2"/>
    <w:rsid w:val="7FB1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4"/>
    <w:next w:val="1"/>
    <w:qFormat/>
    <w:uiPriority w:val="0"/>
    <w:pPr>
      <w:keepNext/>
      <w:keepLines/>
      <w:spacing w:before="100" w:after="100" w:line="416" w:lineRule="auto"/>
      <w:outlineLvl w:val="1"/>
    </w:pPr>
    <w:rPr>
      <w:rFonts w:ascii="Cambria" w:hAnsi="Cambria" w:eastAsia="宋体"/>
      <w:b/>
      <w:bCs/>
      <w:sz w:val="21"/>
      <w:szCs w:val="32"/>
    </w:rPr>
  </w:style>
  <w:style w:type="paragraph" w:styleId="5">
    <w:name w:val="heading 3"/>
    <w:basedOn w:val="1"/>
    <w:next w:val="1"/>
    <w:qFormat/>
    <w:uiPriority w:val="0"/>
    <w:pPr>
      <w:keepNext/>
      <w:keepLines/>
      <w:spacing w:before="100" w:after="100" w:line="416" w:lineRule="auto"/>
      <w:outlineLvl w:val="2"/>
    </w:pPr>
    <w:rPr>
      <w:rFonts w:ascii="Times New Roman" w:hAnsi="Times New Roman" w:eastAsia="宋体"/>
      <w:b/>
      <w:bCs/>
      <w:sz w:val="21"/>
      <w:szCs w:val="32"/>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customStyle="1" w:styleId="4">
    <w:name w:val="zjb正文"/>
    <w:basedOn w:val="1"/>
    <w:qFormat/>
    <w:uiPriority w:val="0"/>
    <w:pPr>
      <w:widowControl/>
      <w:spacing w:line="360" w:lineRule="auto"/>
      <w:ind w:firstLine="200" w:firstLineChars="200"/>
      <w:jc w:val="left"/>
    </w:pPr>
    <w:rPr>
      <w:rFonts w:ascii="仿宋_GB2312" w:hAnsi="仿宋" w:eastAsia="仿宋_GB2312" w:cs="宋体"/>
      <w:color w:val="000000"/>
      <w:kern w:val="0"/>
      <w:sz w:val="30"/>
      <w:szCs w:val="30"/>
      <w:lang w:eastAsia="en-US"/>
    </w:rPr>
  </w:style>
  <w:style w:type="paragraph" w:styleId="6">
    <w:name w:val="Normal Indent"/>
    <w:basedOn w:val="1"/>
    <w:next w:val="1"/>
    <w:semiHidden/>
    <w:qFormat/>
    <w:uiPriority w:val="0"/>
    <w:pPr>
      <w:widowControl w:val="0"/>
      <w:adjustRightInd w:val="0"/>
      <w:snapToGrid w:val="0"/>
      <w:spacing w:line="360" w:lineRule="auto"/>
      <w:ind w:firstLine="420"/>
    </w:pPr>
  </w:style>
  <w:style w:type="paragraph" w:styleId="7">
    <w:name w:val="annotation text"/>
    <w:basedOn w:val="1"/>
    <w:qFormat/>
    <w:uiPriority w:val="0"/>
    <w:pPr>
      <w:jc w:val="left"/>
    </w:pPr>
  </w:style>
  <w:style w:type="paragraph" w:styleId="8">
    <w:name w:val="Plain Text"/>
    <w:basedOn w:val="1"/>
    <w:qFormat/>
    <w:uiPriority w:val="0"/>
    <w:pPr>
      <w:autoSpaceDE w:val="0"/>
      <w:autoSpaceDN w:val="0"/>
      <w:jc w:val="left"/>
    </w:pPr>
    <w:rPr>
      <w:rFonts w:ascii="宋体" w:hAnsi="Courier New" w:eastAsia="宋体"/>
      <w:kern w:val="0"/>
      <w:sz w:val="22"/>
      <w:szCs w:val="21"/>
      <w:lang w:eastAsia="en-U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outlineLvl w:val="7"/>
    </w:pPr>
  </w:style>
  <w:style w:type="paragraph" w:styleId="12">
    <w:name w:val="toc 2"/>
    <w:basedOn w:val="1"/>
    <w:next w:val="1"/>
    <w:qFormat/>
    <w:uiPriority w:val="0"/>
    <w:pPr>
      <w:ind w:left="200"/>
    </w:pPr>
    <w:rPr>
      <w:rFonts w:ascii="Times New Roman" w:hAnsi="Times New Roman" w:eastAsia="宋体"/>
      <w:smallCaps/>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6">
    <w:name w:val="cl（章）正文标题"/>
    <w:basedOn w:val="1"/>
    <w:qFormat/>
    <w:uiPriority w:val="0"/>
    <w:pPr>
      <w:spacing w:line="360" w:lineRule="auto"/>
      <w:jc w:val="center"/>
      <w:outlineLvl w:val="0"/>
    </w:pPr>
    <w:rPr>
      <w:rFonts w:ascii="Calibri" w:hAnsi="Calibri" w:eastAsia="宋体"/>
      <w:b/>
      <w:sz w:val="36"/>
    </w:rPr>
  </w:style>
  <w:style w:type="paragraph" w:customStyle="1" w:styleId="17">
    <w:name w:val="Default"/>
    <w:qFormat/>
    <w:uiPriority w:val="0"/>
    <w:pPr>
      <w:widowControl w:val="0"/>
      <w:autoSpaceDE w:val="0"/>
      <w:autoSpaceDN w:val="0"/>
      <w:adjustRightInd w:val="0"/>
    </w:pPr>
    <w:rPr>
      <w:rFonts w:ascii="宋体" w:hAnsi="Times New Roman" w:eastAsia="等线" w:cs="Times New Roman"/>
      <w:color w:val="000000"/>
      <w:sz w:val="24"/>
      <w:szCs w:val="24"/>
      <w:lang w:val="en-US" w:eastAsia="zh-CN" w:bidi="ar-SA"/>
    </w:rPr>
  </w:style>
  <w:style w:type="paragraph" w:customStyle="1" w:styleId="18">
    <w:name w:val="（1节）正文标题"/>
    <w:basedOn w:val="1"/>
    <w:next w:val="5"/>
    <w:qFormat/>
    <w:uiPriority w:val="0"/>
    <w:pPr>
      <w:spacing w:before="30" w:beforeLines="30" w:after="20" w:afterLines="20" w:line="360" w:lineRule="auto"/>
      <w:ind w:firstLine="0" w:firstLineChars="0"/>
      <w:jc w:val="left"/>
      <w:outlineLvl w:val="1"/>
    </w:pPr>
    <w:rPr>
      <w:rFonts w:ascii="Calibri" w:hAnsi="Calibri" w:cs="Arial"/>
      <w:b/>
      <w:sz w:val="24"/>
    </w:rPr>
  </w:style>
  <w:style w:type="paragraph" w:customStyle="1" w:styleId="19">
    <w:name w:val="Table Paragraph"/>
    <w:basedOn w:val="1"/>
    <w:qFormat/>
    <w:uiPriority w:val="0"/>
    <w:pPr>
      <w:autoSpaceDE w:val="0"/>
      <w:autoSpaceDN w:val="0"/>
      <w:jc w:val="left"/>
    </w:pPr>
    <w:rPr>
      <w:rFonts w:ascii="宋体" w:hAnsi="宋体" w:cs="宋体"/>
      <w:kern w:val="0"/>
      <w:sz w:val="22"/>
      <w:lang w:val="zh-CN"/>
    </w:rPr>
  </w:style>
  <w:style w:type="paragraph" w:customStyle="1" w:styleId="2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等线" w:cs="Times New Roman"/>
      <w:kern w:val="2"/>
      <w:sz w:val="21"/>
      <w:szCs w:val="22"/>
      <w:lang w:val="en-US" w:eastAsia="zh-CN" w:bidi="ar-SA"/>
    </w:rPr>
  </w:style>
  <w:style w:type="paragraph" w:customStyle="1" w:styleId="21">
    <w:name w:val="0前附表正文"/>
    <w:qFormat/>
    <w:uiPriority w:val="0"/>
    <w:pPr>
      <w:widowControl w:val="0"/>
      <w:autoSpaceDE w:val="0"/>
      <w:autoSpaceDN w:val="0"/>
      <w:adjustRightInd w:val="0"/>
    </w:pPr>
    <w:rPr>
      <w:rFonts w:ascii="宋体" w:hAnsi="宋体" w:eastAsia="等线" w:cs="Times New Roman"/>
      <w:color w:val="000000"/>
      <w:sz w:val="21"/>
      <w:szCs w:val="24"/>
      <w:lang w:val="en-US" w:eastAsia="zh-CN" w:bidi="ar-SA"/>
    </w:rPr>
  </w:style>
  <w:style w:type="paragraph" w:customStyle="1" w:styleId="22">
    <w:name w:val="表内文字"/>
    <w:basedOn w:val="1"/>
    <w:qFormat/>
    <w:uiPriority w:val="0"/>
    <w:pPr>
      <w:ind w:firstLine="0" w:firstLineChars="0"/>
    </w:pPr>
    <w:rPr>
      <w:szCs w:val="21"/>
    </w:rPr>
  </w:style>
  <w:style w:type="paragraph" w:customStyle="1" w:styleId="23">
    <w:name w:val="CL（章）正文标题"/>
    <w:basedOn w:val="1"/>
    <w:qFormat/>
    <w:uiPriority w:val="0"/>
    <w:pPr>
      <w:spacing w:line="360" w:lineRule="auto"/>
      <w:jc w:val="center"/>
      <w:outlineLvl w:val="0"/>
    </w:pPr>
    <w:rPr>
      <w:rFonts w:ascii="Calibri" w:hAnsi="Calibri" w:eastAsia="宋体" w:cs="Arial"/>
      <w:b/>
      <w:kern w:val="0"/>
      <w:sz w:val="36"/>
      <w:szCs w:val="20"/>
    </w:rPr>
  </w:style>
  <w:style w:type="character" w:customStyle="1" w:styleId="24">
    <w:name w:val="（章）正文标题 Char"/>
    <w:link w:val="25"/>
    <w:qFormat/>
    <w:uiPriority w:val="0"/>
    <w:rPr>
      <w:rFonts w:ascii="Calibri" w:hAnsi="Calibri" w:cs="Arial"/>
      <w:b/>
      <w:kern w:val="0"/>
      <w:sz w:val="36"/>
      <w:szCs w:val="20"/>
    </w:rPr>
  </w:style>
  <w:style w:type="paragraph" w:customStyle="1" w:styleId="25">
    <w:name w:val="1（章）正文标题"/>
    <w:basedOn w:val="1"/>
    <w:link w:val="24"/>
    <w:qFormat/>
    <w:uiPriority w:val="0"/>
    <w:pPr>
      <w:spacing w:line="360" w:lineRule="auto"/>
      <w:jc w:val="center"/>
      <w:outlineLvl w:val="0"/>
    </w:pPr>
    <w:rPr>
      <w:rFonts w:ascii="Calibri" w:hAnsi="Calibri" w:cs="Arial"/>
      <w:b/>
      <w:kern w:val="0"/>
      <w:sz w:val="36"/>
      <w:szCs w:val="20"/>
    </w:rPr>
  </w:style>
  <w:style w:type="paragraph" w:customStyle="1" w:styleId="26">
    <w:name w:val="CM91"/>
    <w:basedOn w:val="17"/>
    <w:next w:val="17"/>
    <w:qFormat/>
    <w:uiPriority w:val="0"/>
    <w:pPr>
      <w:spacing w:after="160"/>
    </w:pPr>
    <w:rPr>
      <w:rFonts w:ascii="Calibri" w:hAnsi="Calibri"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33664</Words>
  <Characters>35820</Characters>
  <Lines>0</Lines>
  <Paragraphs>0</Paragraphs>
  <TotalTime>40</TotalTime>
  <ScaleCrop>false</ScaleCrop>
  <LinksUpToDate>false</LinksUpToDate>
  <CharactersWithSpaces>38368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2022-07-04T01:23:00Z</dcterms:created>
  <dc:creator>第二机场前期办合同管理</dc:creator>
  <cp:lastModifiedBy>易志</cp:lastModifiedBy>
  <cp:lastPrinted>2022-07-25T07:11:00Z</cp:lastPrinted>
  <dcterms:modified xsi:type="dcterms:W3CDTF">2022-08-02T03:04:09Z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8B32C98B81C64E0B9FE2AA2940E8CA56</vt:lpwstr>
  </property>
</Properties>
</file>